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3766"/>
        <w:gridCol w:w="1957"/>
        <w:gridCol w:w="3352"/>
      </w:tblGrid>
      <w:tr w:rsidR="00E45E2F" w:rsidRPr="00B27C39" w14:paraId="55A9D6D9" w14:textId="77777777" w:rsidTr="001E0B0B">
        <w:trPr>
          <w:trHeight w:val="615"/>
        </w:trPr>
        <w:tc>
          <w:tcPr>
            <w:tcW w:w="1715" w:type="dxa"/>
            <w:shd w:val="clear" w:color="auto" w:fill="E7E6E6" w:themeFill="background2"/>
            <w:vAlign w:val="center"/>
            <w:hideMark/>
          </w:tcPr>
          <w:p w14:paraId="697C9AD8" w14:textId="77777777" w:rsidR="00E45E2F" w:rsidRPr="00B27C39" w:rsidRDefault="00E45E2F" w:rsidP="00EE084D">
            <w:pPr>
              <w:rPr>
                <w:b/>
                <w:bCs/>
              </w:rPr>
            </w:pPr>
            <w:r w:rsidRPr="00B27C39">
              <w:rPr>
                <w:b/>
                <w:bCs/>
              </w:rPr>
              <w:t>Recipient</w:t>
            </w:r>
          </w:p>
        </w:tc>
        <w:tc>
          <w:tcPr>
            <w:tcW w:w="3766" w:type="dxa"/>
            <w:shd w:val="clear" w:color="auto" w:fill="FFFF00"/>
            <w:vAlign w:val="center"/>
            <w:hideMark/>
          </w:tcPr>
          <w:p w14:paraId="6C4D3612" w14:textId="2CC09861" w:rsidR="00E45E2F" w:rsidRPr="00B27C39" w:rsidRDefault="001E0B0B" w:rsidP="00EE084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AGENCY NAME</w:t>
            </w:r>
          </w:p>
        </w:tc>
        <w:tc>
          <w:tcPr>
            <w:tcW w:w="1957" w:type="dxa"/>
            <w:shd w:val="clear" w:color="auto" w:fill="E7E6E6" w:themeFill="background2"/>
            <w:vAlign w:val="center"/>
            <w:hideMark/>
          </w:tcPr>
          <w:p w14:paraId="69203611" w14:textId="77777777" w:rsidR="00E45E2F" w:rsidRPr="00B27C39" w:rsidRDefault="00E45E2F" w:rsidP="00EE084D">
            <w:pPr>
              <w:rPr>
                <w:b/>
                <w:bCs/>
              </w:rPr>
            </w:pPr>
            <w:r w:rsidRPr="00B27C39">
              <w:rPr>
                <w:b/>
                <w:bCs/>
              </w:rPr>
              <w:t>Project Component Type</w:t>
            </w:r>
          </w:p>
        </w:tc>
        <w:tc>
          <w:tcPr>
            <w:tcW w:w="3352" w:type="dxa"/>
            <w:shd w:val="clear" w:color="auto" w:fill="FFFF00"/>
            <w:vAlign w:val="center"/>
            <w:hideMark/>
          </w:tcPr>
          <w:p w14:paraId="13C708D0" w14:textId="77777777" w:rsidR="00E45E2F" w:rsidRPr="00B27C39" w:rsidRDefault="00E45E2F" w:rsidP="00EE084D">
            <w:pPr>
              <w:rPr>
                <w:b/>
                <w:bCs/>
              </w:rPr>
            </w:pPr>
            <w:r w:rsidRPr="00B27C39">
              <w:rPr>
                <w:b/>
                <w:bCs/>
              </w:rPr>
              <w:t> </w:t>
            </w:r>
            <w:r w:rsidRPr="00FC77A7">
              <w:rPr>
                <w:b/>
                <w:bCs/>
                <w:noProof/>
              </w:rPr>
              <w:t>PSH</w:t>
            </w:r>
          </w:p>
        </w:tc>
      </w:tr>
      <w:tr w:rsidR="00E45E2F" w:rsidRPr="00B27C39" w14:paraId="58C9B685" w14:textId="77777777" w:rsidTr="00EE084D">
        <w:trPr>
          <w:trHeight w:val="615"/>
        </w:trPr>
        <w:tc>
          <w:tcPr>
            <w:tcW w:w="1715" w:type="dxa"/>
            <w:shd w:val="clear" w:color="auto" w:fill="E7E6E6" w:themeFill="background2"/>
            <w:vAlign w:val="center"/>
            <w:hideMark/>
          </w:tcPr>
          <w:p w14:paraId="6FA42104" w14:textId="77777777" w:rsidR="00E45E2F" w:rsidRPr="00B27C39" w:rsidRDefault="00E45E2F" w:rsidP="00EE084D">
            <w:pPr>
              <w:rPr>
                <w:b/>
                <w:bCs/>
              </w:rPr>
            </w:pPr>
            <w:r w:rsidRPr="00B27C39">
              <w:rPr>
                <w:b/>
                <w:bCs/>
              </w:rPr>
              <w:t>Subrecipient</w:t>
            </w:r>
          </w:p>
        </w:tc>
        <w:tc>
          <w:tcPr>
            <w:tcW w:w="3766" w:type="dxa"/>
            <w:vAlign w:val="center"/>
            <w:hideMark/>
          </w:tcPr>
          <w:p w14:paraId="06937CA9" w14:textId="77777777" w:rsidR="00E45E2F" w:rsidRPr="00B27C39" w:rsidRDefault="00E45E2F" w:rsidP="00EE084D">
            <w:pPr>
              <w:rPr>
                <w:b/>
                <w:bCs/>
              </w:rPr>
            </w:pPr>
            <w:r w:rsidRPr="00B27C39">
              <w:rPr>
                <w:b/>
                <w:bCs/>
              </w:rPr>
              <w:t> </w:t>
            </w:r>
            <w:r>
              <w:rPr>
                <w:b/>
                <w:bCs/>
              </w:rPr>
              <w:t>N/A</w:t>
            </w:r>
          </w:p>
        </w:tc>
        <w:tc>
          <w:tcPr>
            <w:tcW w:w="1957" w:type="dxa"/>
            <w:shd w:val="clear" w:color="auto" w:fill="E7E6E6" w:themeFill="background2"/>
            <w:vAlign w:val="center"/>
            <w:hideMark/>
          </w:tcPr>
          <w:p w14:paraId="63220994" w14:textId="77777777" w:rsidR="00E45E2F" w:rsidRPr="00B27C39" w:rsidRDefault="00E45E2F" w:rsidP="00EE08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  <w:r w:rsidRPr="00B27C39">
              <w:rPr>
                <w:b/>
                <w:bCs/>
              </w:rPr>
              <w:t>Reporting Period</w:t>
            </w:r>
          </w:p>
        </w:tc>
        <w:tc>
          <w:tcPr>
            <w:tcW w:w="3352" w:type="dxa"/>
            <w:vAlign w:val="center"/>
            <w:hideMark/>
          </w:tcPr>
          <w:p w14:paraId="2BD656B9" w14:textId="77777777" w:rsidR="00E45E2F" w:rsidRPr="00B27C39" w:rsidRDefault="00E45E2F" w:rsidP="00EE084D">
            <w:pPr>
              <w:rPr>
                <w:b/>
                <w:bCs/>
              </w:rPr>
            </w:pPr>
            <w:r w:rsidRPr="00FD0043">
              <w:rPr>
                <w:b/>
                <w:bCs/>
              </w:rPr>
              <w:t>July 1, 2021 - June 30, 2022</w:t>
            </w:r>
          </w:p>
        </w:tc>
      </w:tr>
      <w:tr w:rsidR="00E45E2F" w:rsidRPr="00B27C39" w14:paraId="4A76C83C" w14:textId="77777777" w:rsidTr="001E0B0B">
        <w:trPr>
          <w:trHeight w:val="615"/>
        </w:trPr>
        <w:tc>
          <w:tcPr>
            <w:tcW w:w="1715" w:type="dxa"/>
            <w:shd w:val="clear" w:color="auto" w:fill="E7E6E6" w:themeFill="background2"/>
            <w:vAlign w:val="center"/>
            <w:hideMark/>
          </w:tcPr>
          <w:p w14:paraId="4D6BF8D0" w14:textId="77777777" w:rsidR="00E45E2F" w:rsidRPr="00B27C39" w:rsidRDefault="00E45E2F" w:rsidP="00EE084D">
            <w:pPr>
              <w:rPr>
                <w:b/>
                <w:bCs/>
              </w:rPr>
            </w:pPr>
            <w:r w:rsidRPr="00B27C39">
              <w:rPr>
                <w:b/>
                <w:bCs/>
              </w:rPr>
              <w:t>Project Name</w:t>
            </w:r>
          </w:p>
        </w:tc>
        <w:tc>
          <w:tcPr>
            <w:tcW w:w="3766" w:type="dxa"/>
            <w:shd w:val="clear" w:color="auto" w:fill="FFFF00"/>
            <w:vAlign w:val="center"/>
            <w:hideMark/>
          </w:tcPr>
          <w:p w14:paraId="42351E00" w14:textId="7ADA8835" w:rsidR="00E45E2F" w:rsidRPr="00B27C39" w:rsidRDefault="001E0B0B" w:rsidP="00EE084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PROJECT NAME</w:t>
            </w:r>
          </w:p>
        </w:tc>
        <w:tc>
          <w:tcPr>
            <w:tcW w:w="1957" w:type="dxa"/>
            <w:shd w:val="clear" w:color="auto" w:fill="E7E6E6" w:themeFill="background2"/>
            <w:vAlign w:val="center"/>
            <w:hideMark/>
          </w:tcPr>
          <w:p w14:paraId="0ACCC90F" w14:textId="77777777" w:rsidR="00E45E2F" w:rsidRPr="00B27C39" w:rsidRDefault="00E45E2F" w:rsidP="00EE084D">
            <w:pPr>
              <w:rPr>
                <w:b/>
                <w:bCs/>
              </w:rPr>
            </w:pPr>
            <w:r w:rsidRPr="00B27C39">
              <w:rPr>
                <w:b/>
                <w:bCs/>
              </w:rPr>
              <w:t>Scorecard Status</w:t>
            </w:r>
          </w:p>
        </w:tc>
        <w:tc>
          <w:tcPr>
            <w:tcW w:w="3352" w:type="dxa"/>
            <w:vAlign w:val="center"/>
            <w:hideMark/>
          </w:tcPr>
          <w:p w14:paraId="6D49FCDE" w14:textId="77777777" w:rsidR="00E45E2F" w:rsidRPr="00B27C39" w:rsidRDefault="00E45E2F" w:rsidP="00EE084D">
            <w:pPr>
              <w:rPr>
                <w:b/>
                <w:bCs/>
              </w:rPr>
            </w:pPr>
            <w:r w:rsidRPr="00B27C39">
              <w:rPr>
                <w:b/>
                <w:bCs/>
              </w:rPr>
              <w:t>Under Review</w:t>
            </w:r>
          </w:p>
        </w:tc>
      </w:tr>
    </w:tbl>
    <w:p w14:paraId="49EC7BBD" w14:textId="77777777" w:rsidR="00E45E2F" w:rsidRDefault="00E45E2F" w:rsidP="00E45E2F">
      <w:pPr>
        <w:spacing w:after="0"/>
        <w:rPr>
          <w:i/>
          <w:iCs/>
        </w:rPr>
      </w:pPr>
    </w:p>
    <w:p w14:paraId="1053E89D" w14:textId="77777777" w:rsidR="00E45E2F" w:rsidRPr="005B77E8" w:rsidRDefault="00E45E2F" w:rsidP="00E45E2F">
      <w:pPr>
        <w:spacing w:after="0"/>
        <w:rPr>
          <w:b/>
          <w:bCs/>
          <w:i/>
          <w:iCs/>
        </w:rPr>
      </w:pPr>
      <w:r w:rsidRPr="005B77E8">
        <w:rPr>
          <w:b/>
          <w:bCs/>
          <w:i/>
          <w:iCs/>
        </w:rPr>
        <w:t>General Information:</w:t>
      </w:r>
    </w:p>
    <w:p w14:paraId="7E0F9889" w14:textId="77777777" w:rsidR="00E45E2F" w:rsidRDefault="00E45E2F" w:rsidP="00E45E2F">
      <w:pPr>
        <w:pStyle w:val="ListParagraph"/>
        <w:numPr>
          <w:ilvl w:val="0"/>
          <w:numId w:val="1"/>
        </w:numPr>
        <w:spacing w:after="0"/>
      </w:pPr>
      <w:r>
        <w:t xml:space="preserve">Renewal project scorecards are derived from data pulled from HMIS, SAGE and </w:t>
      </w:r>
      <w:proofErr w:type="spellStart"/>
      <w:r>
        <w:t>eSNAPs</w:t>
      </w:r>
      <w:proofErr w:type="spellEnd"/>
      <w:r>
        <w:t xml:space="preserve"> project applications. The HMIS data reviewed for this document includes Annual Performance Reports for the timeframe of July 1, 2021 – June 30, 2022</w:t>
      </w:r>
    </w:p>
    <w:p w14:paraId="375BC73E" w14:textId="77777777" w:rsidR="00E45E2F" w:rsidRDefault="00E45E2F" w:rsidP="00E45E2F">
      <w:pPr>
        <w:pStyle w:val="ListParagraph"/>
        <w:numPr>
          <w:ilvl w:val="0"/>
          <w:numId w:val="1"/>
        </w:numPr>
        <w:spacing w:after="0"/>
      </w:pPr>
      <w:r>
        <w:t xml:space="preserve">Renewing projects were notified on July 26, </w:t>
      </w:r>
      <w:proofErr w:type="gramStart"/>
      <w:r>
        <w:t>2022</w:t>
      </w:r>
      <w:proofErr w:type="gramEnd"/>
      <w:r>
        <w:t xml:space="preserve"> of the renewal scorecard process and were provided the opportunity to work with </w:t>
      </w:r>
      <w:proofErr w:type="spellStart"/>
      <w:r>
        <w:t>TeamHMIS</w:t>
      </w:r>
      <w:proofErr w:type="spellEnd"/>
      <w:r>
        <w:t xml:space="preserve"> to correct any inaccurate or missing data in HMIS</w:t>
      </w:r>
    </w:p>
    <w:p w14:paraId="56F75895" w14:textId="77777777" w:rsidR="00E45E2F" w:rsidRDefault="00E45E2F" w:rsidP="00E45E2F">
      <w:pPr>
        <w:pStyle w:val="ListParagraph"/>
        <w:numPr>
          <w:ilvl w:val="0"/>
          <w:numId w:val="1"/>
        </w:numPr>
        <w:spacing w:after="0"/>
      </w:pPr>
      <w:r>
        <w:t>Projects renewing for the first time will not receive a Renewal Scorecard since it has not yet had one full year of performance data</w:t>
      </w:r>
    </w:p>
    <w:p w14:paraId="6A0E3BC5" w14:textId="77777777" w:rsidR="00E45E2F" w:rsidRDefault="00E45E2F" w:rsidP="00E45E2F">
      <w:pPr>
        <w:pStyle w:val="ListParagraph"/>
        <w:numPr>
          <w:ilvl w:val="0"/>
          <w:numId w:val="1"/>
        </w:numPr>
        <w:spacing w:after="0"/>
      </w:pPr>
      <w:r>
        <w:t>Performance measures that do not apply to a given project are marked “NA” in the score column</w:t>
      </w:r>
    </w:p>
    <w:p w14:paraId="3F17E722" w14:textId="77777777" w:rsidR="00E45E2F" w:rsidRDefault="00E45E2F" w:rsidP="00E45E2F">
      <w:pPr>
        <w:pStyle w:val="ListParagraph"/>
        <w:numPr>
          <w:ilvl w:val="0"/>
          <w:numId w:val="1"/>
        </w:numPr>
        <w:spacing w:after="0"/>
      </w:pPr>
      <w:r>
        <w:t xml:space="preserve">For more information about the competition process, rating and ranking policy and other materials, please visit </w:t>
      </w:r>
      <w:hyperlink r:id="rId7" w:history="1">
        <w:r w:rsidRPr="00E652E0">
          <w:rPr>
            <w:rStyle w:val="Hyperlink"/>
            <w:color w:val="44546A" w:themeColor="text2"/>
          </w:rPr>
          <w:t>https://www.mdboscoc.org/2022coccompetition</w:t>
        </w:r>
      </w:hyperlink>
    </w:p>
    <w:p w14:paraId="130AD2C7" w14:textId="77777777" w:rsidR="00E45E2F" w:rsidRDefault="00E45E2F" w:rsidP="00E45E2F">
      <w:pPr>
        <w:spacing w:after="0"/>
        <w:rPr>
          <w:i/>
          <w:iCs/>
        </w:rPr>
      </w:pPr>
    </w:p>
    <w:p w14:paraId="2144E473" w14:textId="77777777" w:rsidR="00E45E2F" w:rsidRPr="005B77E8" w:rsidRDefault="00E45E2F" w:rsidP="00E45E2F">
      <w:pPr>
        <w:spacing w:after="0"/>
        <w:rPr>
          <w:b/>
          <w:bCs/>
          <w:i/>
          <w:iCs/>
        </w:rPr>
      </w:pPr>
      <w:r w:rsidRPr="005B77E8">
        <w:rPr>
          <w:b/>
          <w:bCs/>
          <w:i/>
          <w:iCs/>
        </w:rPr>
        <w:t>Instructions:</w:t>
      </w:r>
    </w:p>
    <w:p w14:paraId="6AFCE68B" w14:textId="77777777" w:rsidR="00E45E2F" w:rsidRDefault="00E45E2F" w:rsidP="00E45E2F">
      <w:pPr>
        <w:pStyle w:val="ListParagraph"/>
        <w:numPr>
          <w:ilvl w:val="0"/>
          <w:numId w:val="2"/>
        </w:numPr>
        <w:spacing w:after="0"/>
      </w:pPr>
      <w:r>
        <w:t>Review each of the sections below for accuracy</w:t>
      </w:r>
    </w:p>
    <w:p w14:paraId="03254960" w14:textId="77777777" w:rsidR="00E45E2F" w:rsidRDefault="00E45E2F" w:rsidP="00E45E2F">
      <w:pPr>
        <w:pStyle w:val="ListParagraph"/>
        <w:numPr>
          <w:ilvl w:val="0"/>
          <w:numId w:val="2"/>
        </w:numPr>
        <w:spacing w:after="0"/>
      </w:pPr>
      <w:r>
        <w:t>Complete the Agency Response Section to address low scoring measures and grant recapture rates over 10%</w:t>
      </w:r>
    </w:p>
    <w:p w14:paraId="487CAA7C" w14:textId="1EE73208" w:rsidR="00E45E2F" w:rsidRDefault="00E45E2F" w:rsidP="00E45E2F">
      <w:pPr>
        <w:pStyle w:val="ListParagraph"/>
        <w:numPr>
          <w:ilvl w:val="0"/>
          <w:numId w:val="2"/>
        </w:numPr>
        <w:spacing w:after="0"/>
      </w:pPr>
      <w:r>
        <w:t xml:space="preserve">Return your finalized scorecard to </w:t>
      </w:r>
      <w:hyperlink r:id="rId8" w:history="1">
        <w:r w:rsidRPr="00585384">
          <w:rPr>
            <w:rStyle w:val="Hyperlink"/>
            <w:color w:val="44546A" w:themeColor="text2"/>
          </w:rPr>
          <w:t>boscoc.dhcd@maryland.gov</w:t>
        </w:r>
      </w:hyperlink>
      <w:r w:rsidRPr="00585384">
        <w:rPr>
          <w:color w:val="44546A" w:themeColor="text2"/>
        </w:rPr>
        <w:t xml:space="preserve"> </w:t>
      </w:r>
      <w:r w:rsidRPr="00BF2770">
        <w:t xml:space="preserve">no later than </w:t>
      </w:r>
      <w:r w:rsidRPr="005E43EC">
        <w:rPr>
          <w:b/>
          <w:bCs/>
        </w:rPr>
        <w:t>Wednesday, August 31, 2022</w:t>
      </w:r>
    </w:p>
    <w:p w14:paraId="71A5433E" w14:textId="77777777" w:rsidR="00E45E2F" w:rsidRDefault="00E45E2F" w:rsidP="00E45E2F">
      <w:pPr>
        <w:pStyle w:val="ListParagraph"/>
        <w:numPr>
          <w:ilvl w:val="0"/>
          <w:numId w:val="2"/>
        </w:numPr>
        <w:spacing w:after="0"/>
      </w:pPr>
      <w:r>
        <w:t>Finalized scorecards will be provided to the Performance Review Committee for project rating and ranking</w:t>
      </w:r>
    </w:p>
    <w:p w14:paraId="6C119D74" w14:textId="77777777" w:rsidR="00E45E2F" w:rsidRDefault="00E45E2F" w:rsidP="00E45E2F">
      <w:pPr>
        <w:pStyle w:val="ListParagraph"/>
        <w:numPr>
          <w:ilvl w:val="0"/>
          <w:numId w:val="2"/>
        </w:numPr>
        <w:spacing w:after="0"/>
      </w:pPr>
      <w:r w:rsidRPr="005E43EC">
        <w:rPr>
          <w:b/>
          <w:bCs/>
          <w:highlight w:val="yellow"/>
        </w:rPr>
        <w:t xml:space="preserve">NEW in </w:t>
      </w:r>
      <w:r>
        <w:rPr>
          <w:b/>
          <w:bCs/>
          <w:highlight w:val="yellow"/>
        </w:rPr>
        <w:t>FY</w:t>
      </w:r>
      <w:r w:rsidRPr="005E43EC">
        <w:rPr>
          <w:b/>
          <w:bCs/>
          <w:highlight w:val="yellow"/>
        </w:rPr>
        <w:t>2022</w:t>
      </w:r>
      <w:r>
        <w:t xml:space="preserve">: Renewing projects are required to respond to the BoS RFP, </w:t>
      </w:r>
      <w:r w:rsidRPr="005B77E8">
        <w:rPr>
          <w:b/>
          <w:bCs/>
        </w:rPr>
        <w:t>due Wednesday, August 31, 2022</w:t>
      </w:r>
      <w:r>
        <w:t xml:space="preserve">; posted at </w:t>
      </w:r>
      <w:hyperlink r:id="rId9" w:history="1">
        <w:r w:rsidRPr="00E652E0">
          <w:rPr>
            <w:rStyle w:val="Hyperlink"/>
            <w:color w:val="44546A" w:themeColor="text2"/>
          </w:rPr>
          <w:t>https://www.mdboscoc.org/2022coccompetition</w:t>
        </w:r>
      </w:hyperlink>
      <w:r>
        <w:rPr>
          <w:color w:val="44546A" w:themeColor="text2"/>
        </w:rPr>
        <w:t>/</w:t>
      </w:r>
    </w:p>
    <w:p w14:paraId="7AD255C3" w14:textId="77777777" w:rsidR="00E45E2F" w:rsidRDefault="00E45E2F" w:rsidP="00E45E2F">
      <w:pPr>
        <w:pStyle w:val="ListParagraph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619"/>
        <w:gridCol w:w="1480"/>
        <w:gridCol w:w="1484"/>
        <w:gridCol w:w="1298"/>
        <w:gridCol w:w="1574"/>
      </w:tblGrid>
      <w:tr w:rsidR="00E45E2F" w:rsidRPr="00B27C39" w14:paraId="5DBE8C67" w14:textId="77777777" w:rsidTr="00EE084D">
        <w:trPr>
          <w:trHeight w:val="288"/>
        </w:trPr>
        <w:tc>
          <w:tcPr>
            <w:tcW w:w="0" w:type="auto"/>
            <w:gridSpan w:val="6"/>
            <w:shd w:val="clear" w:color="auto" w:fill="E7E6E6" w:themeFill="background2"/>
            <w:hideMark/>
          </w:tcPr>
          <w:p w14:paraId="723105F5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Total Project Score</w:t>
            </w:r>
          </w:p>
        </w:tc>
      </w:tr>
      <w:tr w:rsidR="00E45E2F" w:rsidRPr="00B27C39" w14:paraId="3E6ACB1F" w14:textId="77777777" w:rsidTr="00EE084D">
        <w:trPr>
          <w:trHeight w:val="825"/>
        </w:trPr>
        <w:tc>
          <w:tcPr>
            <w:tcW w:w="2335" w:type="dxa"/>
            <w:vMerge w:val="restart"/>
            <w:vAlign w:val="center"/>
            <w:hideMark/>
          </w:tcPr>
          <w:p w14:paraId="721D23C1" w14:textId="77777777" w:rsidR="00E45E2F" w:rsidRPr="007727C4" w:rsidRDefault="00E45E2F" w:rsidP="00EE084D">
            <w:pPr>
              <w:jc w:val="center"/>
              <w:rPr>
                <w:b/>
                <w:bCs/>
              </w:rPr>
            </w:pPr>
            <w:r w:rsidRPr="007727C4">
              <w:rPr>
                <w:b/>
                <w:bCs/>
              </w:rPr>
              <w:t xml:space="preserve">Total Project Score = </w:t>
            </w:r>
            <w:r w:rsidRPr="007727C4">
              <w:rPr>
                <w:b/>
                <w:bCs/>
              </w:rPr>
              <w:br/>
              <w:t xml:space="preserve">Project Performance Percentage Achieved </w:t>
            </w:r>
            <w:r w:rsidRPr="007727C4">
              <w:rPr>
                <w:b/>
                <w:bCs/>
              </w:rPr>
              <w:br/>
              <w:t xml:space="preserve">+ HMIS Data Quality Percentage Achieved </w:t>
            </w:r>
            <w:r w:rsidRPr="007727C4">
              <w:rPr>
                <w:b/>
                <w:bCs/>
              </w:rPr>
              <w:br/>
              <w:t>+ Grant Management &amp; Financials Percentage Achieved</w:t>
            </w:r>
          </w:p>
        </w:tc>
        <w:tc>
          <w:tcPr>
            <w:tcW w:w="2619" w:type="dxa"/>
            <w:shd w:val="clear" w:color="auto" w:fill="D9D9D9" w:themeFill="background1" w:themeFillShade="D9"/>
            <w:vAlign w:val="center"/>
            <w:hideMark/>
          </w:tcPr>
          <w:p w14:paraId="62F1A93C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Scoring Category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6BF64207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Total Points Achieved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61500193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Total Points Available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55594822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Category Weight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5D31111F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Percentage Achieved</w:t>
            </w:r>
          </w:p>
        </w:tc>
      </w:tr>
      <w:tr w:rsidR="00E45E2F" w:rsidRPr="00B27C39" w14:paraId="7E25F7B3" w14:textId="77777777" w:rsidTr="00EE084D">
        <w:trPr>
          <w:trHeight w:val="737"/>
        </w:trPr>
        <w:tc>
          <w:tcPr>
            <w:tcW w:w="2335" w:type="dxa"/>
            <w:vMerge/>
            <w:hideMark/>
          </w:tcPr>
          <w:p w14:paraId="21FF3D94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</w:p>
        </w:tc>
        <w:tc>
          <w:tcPr>
            <w:tcW w:w="2619" w:type="dxa"/>
            <w:vAlign w:val="center"/>
            <w:hideMark/>
          </w:tcPr>
          <w:p w14:paraId="57EA1E05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Project Performance</w:t>
            </w:r>
          </w:p>
        </w:tc>
        <w:tc>
          <w:tcPr>
            <w:tcW w:w="0" w:type="auto"/>
            <w:vAlign w:val="center"/>
          </w:tcPr>
          <w:p w14:paraId="4B8E9C0E" w14:textId="77777777" w:rsidR="00E45E2F" w:rsidRPr="004D6488" w:rsidRDefault="00E45E2F" w:rsidP="00EE084D">
            <w:pPr>
              <w:jc w:val="center"/>
              <w:rPr>
                <w:sz w:val="28"/>
                <w:szCs w:val="28"/>
              </w:rPr>
            </w:pPr>
            <w:r w:rsidRPr="00FC77A7">
              <w:rPr>
                <w:noProof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590B0" w14:textId="77777777" w:rsidR="00E45E2F" w:rsidRPr="004D6488" w:rsidRDefault="00E45E2F" w:rsidP="00EE084D">
            <w:pPr>
              <w:jc w:val="center"/>
              <w:rPr>
                <w:sz w:val="28"/>
                <w:szCs w:val="28"/>
              </w:rPr>
            </w:pPr>
            <w:r w:rsidRPr="00FC77A7">
              <w:rPr>
                <w:noProof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58C9458" w14:textId="77777777" w:rsidR="00E45E2F" w:rsidRPr="004D6488" w:rsidRDefault="00E45E2F" w:rsidP="00EE084D">
            <w:pPr>
              <w:jc w:val="center"/>
              <w:rPr>
                <w:sz w:val="28"/>
                <w:szCs w:val="28"/>
              </w:rPr>
            </w:pPr>
            <w:r w:rsidRPr="004D6488">
              <w:rPr>
                <w:sz w:val="28"/>
                <w:szCs w:val="28"/>
              </w:rPr>
              <w:t>70%</w:t>
            </w:r>
          </w:p>
        </w:tc>
        <w:tc>
          <w:tcPr>
            <w:tcW w:w="0" w:type="auto"/>
            <w:vAlign w:val="center"/>
          </w:tcPr>
          <w:p w14:paraId="1D23B6BB" w14:textId="77777777" w:rsidR="00E45E2F" w:rsidRPr="004D6488" w:rsidRDefault="00E45E2F" w:rsidP="00EE084D">
            <w:pPr>
              <w:jc w:val="center"/>
              <w:rPr>
                <w:noProof/>
                <w:sz w:val="28"/>
                <w:szCs w:val="28"/>
              </w:rPr>
            </w:pPr>
            <w:r w:rsidRPr="00FC77A7">
              <w:rPr>
                <w:noProof/>
                <w:sz w:val="28"/>
                <w:szCs w:val="28"/>
              </w:rPr>
              <w:t>58%</w:t>
            </w:r>
          </w:p>
        </w:tc>
      </w:tr>
      <w:tr w:rsidR="00E45E2F" w:rsidRPr="00B27C39" w14:paraId="0DCEA4C9" w14:textId="77777777" w:rsidTr="00EE084D">
        <w:trPr>
          <w:trHeight w:val="647"/>
        </w:trPr>
        <w:tc>
          <w:tcPr>
            <w:tcW w:w="2335" w:type="dxa"/>
            <w:vMerge/>
            <w:hideMark/>
          </w:tcPr>
          <w:p w14:paraId="119C9115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</w:p>
        </w:tc>
        <w:tc>
          <w:tcPr>
            <w:tcW w:w="2619" w:type="dxa"/>
            <w:vAlign w:val="center"/>
            <w:hideMark/>
          </w:tcPr>
          <w:p w14:paraId="3E767A44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HMIS Data Quality</w:t>
            </w:r>
          </w:p>
        </w:tc>
        <w:tc>
          <w:tcPr>
            <w:tcW w:w="0" w:type="auto"/>
            <w:vAlign w:val="center"/>
          </w:tcPr>
          <w:p w14:paraId="623D5FEA" w14:textId="77777777" w:rsidR="00E45E2F" w:rsidRPr="004D6488" w:rsidRDefault="00E45E2F" w:rsidP="00EE084D">
            <w:pPr>
              <w:jc w:val="center"/>
              <w:rPr>
                <w:sz w:val="28"/>
                <w:szCs w:val="28"/>
              </w:rPr>
            </w:pPr>
            <w:r w:rsidRPr="00FC77A7">
              <w:rPr>
                <w:noProof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56C59" w14:textId="77777777" w:rsidR="00E45E2F" w:rsidRPr="004D6488" w:rsidRDefault="00E45E2F" w:rsidP="00EE084D">
            <w:pPr>
              <w:jc w:val="center"/>
              <w:rPr>
                <w:sz w:val="28"/>
                <w:szCs w:val="28"/>
              </w:rPr>
            </w:pPr>
            <w:r w:rsidRPr="00FC77A7">
              <w:rPr>
                <w:noProof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6A6A7217" w14:textId="77777777" w:rsidR="00E45E2F" w:rsidRPr="004D6488" w:rsidRDefault="00E45E2F" w:rsidP="00EE084D">
            <w:pPr>
              <w:jc w:val="center"/>
              <w:rPr>
                <w:sz w:val="28"/>
                <w:szCs w:val="28"/>
              </w:rPr>
            </w:pPr>
            <w:r w:rsidRPr="004D6488">
              <w:rPr>
                <w:sz w:val="28"/>
                <w:szCs w:val="28"/>
              </w:rPr>
              <w:t>20%</w:t>
            </w:r>
          </w:p>
        </w:tc>
        <w:tc>
          <w:tcPr>
            <w:tcW w:w="0" w:type="auto"/>
            <w:vAlign w:val="center"/>
          </w:tcPr>
          <w:p w14:paraId="10A7BB71" w14:textId="77777777" w:rsidR="00E45E2F" w:rsidRPr="004D6488" w:rsidRDefault="00E45E2F" w:rsidP="00EE084D">
            <w:pPr>
              <w:jc w:val="center"/>
              <w:rPr>
                <w:sz w:val="28"/>
                <w:szCs w:val="28"/>
              </w:rPr>
            </w:pPr>
            <w:r w:rsidRPr="00FC77A7">
              <w:rPr>
                <w:noProof/>
                <w:sz w:val="28"/>
                <w:szCs w:val="28"/>
              </w:rPr>
              <w:t>20%</w:t>
            </w:r>
          </w:p>
        </w:tc>
      </w:tr>
      <w:tr w:rsidR="00E45E2F" w:rsidRPr="00B27C39" w14:paraId="78075FB7" w14:textId="77777777" w:rsidTr="00EE084D">
        <w:trPr>
          <w:trHeight w:val="660"/>
        </w:trPr>
        <w:tc>
          <w:tcPr>
            <w:tcW w:w="2335" w:type="dxa"/>
            <w:vMerge/>
            <w:hideMark/>
          </w:tcPr>
          <w:p w14:paraId="4B94787A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</w:p>
        </w:tc>
        <w:tc>
          <w:tcPr>
            <w:tcW w:w="2619" w:type="dxa"/>
            <w:vMerge w:val="restart"/>
            <w:vAlign w:val="center"/>
            <w:hideMark/>
          </w:tcPr>
          <w:p w14:paraId="19DEC8C6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Grant Management &amp; Financials</w:t>
            </w:r>
          </w:p>
        </w:tc>
        <w:tc>
          <w:tcPr>
            <w:tcW w:w="0" w:type="auto"/>
            <w:vMerge w:val="restart"/>
            <w:vAlign w:val="center"/>
          </w:tcPr>
          <w:p w14:paraId="12C90F5A" w14:textId="77777777" w:rsidR="00E45E2F" w:rsidRPr="004D6488" w:rsidRDefault="00E45E2F" w:rsidP="00EE084D">
            <w:pPr>
              <w:jc w:val="center"/>
              <w:rPr>
                <w:sz w:val="28"/>
                <w:szCs w:val="28"/>
              </w:rPr>
            </w:pPr>
            <w:r w:rsidRPr="00FC77A7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65EA4BF" w14:textId="77777777" w:rsidR="00E45E2F" w:rsidRPr="004D6488" w:rsidRDefault="00E45E2F" w:rsidP="00EE084D">
            <w:pPr>
              <w:jc w:val="center"/>
              <w:rPr>
                <w:sz w:val="28"/>
                <w:szCs w:val="28"/>
              </w:rPr>
            </w:pPr>
            <w:r w:rsidRPr="00FC77A7"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E2FDF1" w14:textId="77777777" w:rsidR="00E45E2F" w:rsidRPr="004D6488" w:rsidRDefault="00E45E2F" w:rsidP="00EE084D">
            <w:pPr>
              <w:jc w:val="center"/>
              <w:rPr>
                <w:sz w:val="28"/>
                <w:szCs w:val="28"/>
              </w:rPr>
            </w:pPr>
            <w:r w:rsidRPr="004D6488">
              <w:rPr>
                <w:sz w:val="28"/>
                <w:szCs w:val="28"/>
              </w:rPr>
              <w:t>10%</w:t>
            </w:r>
          </w:p>
        </w:tc>
        <w:tc>
          <w:tcPr>
            <w:tcW w:w="0" w:type="auto"/>
            <w:vMerge w:val="restart"/>
            <w:vAlign w:val="center"/>
          </w:tcPr>
          <w:p w14:paraId="1A34D621" w14:textId="77777777" w:rsidR="00E45E2F" w:rsidRPr="004D6488" w:rsidRDefault="00E45E2F" w:rsidP="00EE084D">
            <w:pPr>
              <w:jc w:val="center"/>
              <w:rPr>
                <w:sz w:val="28"/>
                <w:szCs w:val="28"/>
              </w:rPr>
            </w:pPr>
            <w:r w:rsidRPr="00FC77A7">
              <w:rPr>
                <w:noProof/>
                <w:sz w:val="28"/>
                <w:szCs w:val="28"/>
              </w:rPr>
              <w:t>5%</w:t>
            </w:r>
          </w:p>
        </w:tc>
      </w:tr>
      <w:tr w:rsidR="00E45E2F" w:rsidRPr="00B27C39" w14:paraId="1BAD4904" w14:textId="77777777" w:rsidTr="00EE084D">
        <w:trPr>
          <w:trHeight w:val="450"/>
        </w:trPr>
        <w:tc>
          <w:tcPr>
            <w:tcW w:w="2335" w:type="dxa"/>
            <w:vMerge/>
            <w:hideMark/>
          </w:tcPr>
          <w:p w14:paraId="4DEFE45E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0718D1C7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5E347AC9" w14:textId="77777777" w:rsidR="00E45E2F" w:rsidRPr="00B27C39" w:rsidRDefault="00E45E2F" w:rsidP="00EE084D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575367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275CDA" w14:textId="77777777" w:rsidR="00E45E2F" w:rsidRPr="00B27C39" w:rsidRDefault="00E45E2F" w:rsidP="00EE084D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5C21E724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</w:p>
        </w:tc>
      </w:tr>
      <w:tr w:rsidR="00E45E2F" w:rsidRPr="00B27C39" w14:paraId="5E2E36AF" w14:textId="77777777" w:rsidTr="001E0B0B">
        <w:trPr>
          <w:trHeight w:val="450"/>
        </w:trPr>
        <w:tc>
          <w:tcPr>
            <w:tcW w:w="2335" w:type="dxa"/>
            <w:vMerge/>
            <w:hideMark/>
          </w:tcPr>
          <w:p w14:paraId="61D6D85F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</w:p>
        </w:tc>
        <w:tc>
          <w:tcPr>
            <w:tcW w:w="261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A379E04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Total Score</w:t>
            </w:r>
          </w:p>
        </w:tc>
        <w:tc>
          <w:tcPr>
            <w:tcW w:w="0" w:type="auto"/>
            <w:gridSpan w:val="4"/>
            <w:vMerge w:val="restart"/>
            <w:shd w:val="clear" w:color="auto" w:fill="FFFF00"/>
            <w:vAlign w:val="center"/>
            <w:hideMark/>
          </w:tcPr>
          <w:p w14:paraId="12B5A957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FC77A7">
              <w:rPr>
                <w:b/>
                <w:bCs/>
                <w:noProof/>
                <w:sz w:val="52"/>
                <w:szCs w:val="52"/>
              </w:rPr>
              <w:t>83%</w:t>
            </w:r>
          </w:p>
        </w:tc>
      </w:tr>
      <w:tr w:rsidR="00E45E2F" w:rsidRPr="00B27C39" w14:paraId="779BEF50" w14:textId="77777777" w:rsidTr="001E0B0B">
        <w:trPr>
          <w:trHeight w:val="450"/>
        </w:trPr>
        <w:tc>
          <w:tcPr>
            <w:tcW w:w="2335" w:type="dxa"/>
            <w:vMerge/>
            <w:hideMark/>
          </w:tcPr>
          <w:p w14:paraId="2DF4CDBD" w14:textId="77777777" w:rsidR="00E45E2F" w:rsidRPr="00B27C39" w:rsidRDefault="00E45E2F" w:rsidP="00EE084D">
            <w:pPr>
              <w:rPr>
                <w:b/>
                <w:bCs/>
              </w:rPr>
            </w:pPr>
          </w:p>
        </w:tc>
        <w:tc>
          <w:tcPr>
            <w:tcW w:w="2619" w:type="dxa"/>
            <w:vMerge/>
            <w:shd w:val="clear" w:color="auto" w:fill="D9D9D9" w:themeFill="background1" w:themeFillShade="D9"/>
            <w:hideMark/>
          </w:tcPr>
          <w:p w14:paraId="2385904C" w14:textId="77777777" w:rsidR="00E45E2F" w:rsidRPr="00B27C39" w:rsidRDefault="00E45E2F" w:rsidP="00EE084D">
            <w:pPr>
              <w:rPr>
                <w:b/>
                <w:bCs/>
              </w:rPr>
            </w:pPr>
          </w:p>
        </w:tc>
        <w:tc>
          <w:tcPr>
            <w:tcW w:w="0" w:type="auto"/>
            <w:gridSpan w:val="4"/>
            <w:vMerge/>
            <w:shd w:val="clear" w:color="auto" w:fill="FFFF00"/>
            <w:hideMark/>
          </w:tcPr>
          <w:p w14:paraId="55FD75C5" w14:textId="77777777" w:rsidR="00E45E2F" w:rsidRPr="00B27C39" w:rsidRDefault="00E45E2F" w:rsidP="00EE084D">
            <w:pPr>
              <w:rPr>
                <w:b/>
                <w:bCs/>
              </w:rPr>
            </w:pPr>
          </w:p>
        </w:tc>
      </w:tr>
    </w:tbl>
    <w:p w14:paraId="3438CDB8" w14:textId="77777777" w:rsidR="00E45E2F" w:rsidRDefault="00E45E2F" w:rsidP="00E45E2F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83"/>
        <w:gridCol w:w="1709"/>
        <w:gridCol w:w="1893"/>
        <w:gridCol w:w="721"/>
        <w:gridCol w:w="988"/>
        <w:gridCol w:w="991"/>
        <w:gridCol w:w="911"/>
        <w:gridCol w:w="898"/>
        <w:gridCol w:w="796"/>
      </w:tblGrid>
      <w:tr w:rsidR="00E45E2F" w:rsidRPr="00B27C39" w14:paraId="5B3E6D93" w14:textId="77777777" w:rsidTr="00EE084D">
        <w:trPr>
          <w:trHeight w:val="576"/>
        </w:trPr>
        <w:tc>
          <w:tcPr>
            <w:tcW w:w="873" w:type="pct"/>
            <w:shd w:val="clear" w:color="auto" w:fill="D9D9D9" w:themeFill="background1" w:themeFillShade="D9"/>
            <w:vAlign w:val="center"/>
            <w:hideMark/>
          </w:tcPr>
          <w:p w14:paraId="0238D6DA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lastRenderedPageBreak/>
              <w:t>Performance Criteria</w:t>
            </w:r>
          </w:p>
        </w:tc>
        <w:tc>
          <w:tcPr>
            <w:tcW w:w="792" w:type="pct"/>
            <w:shd w:val="clear" w:color="auto" w:fill="D9D9D9" w:themeFill="background1" w:themeFillShade="D9"/>
            <w:vAlign w:val="center"/>
            <w:hideMark/>
          </w:tcPr>
          <w:p w14:paraId="599715DA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Purpose &amp; Source of Measurement</w:t>
            </w:r>
          </w:p>
        </w:tc>
        <w:tc>
          <w:tcPr>
            <w:tcW w:w="1211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42E2FEE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Formula Information</w:t>
            </w:r>
          </w:p>
        </w:tc>
        <w:tc>
          <w:tcPr>
            <w:tcW w:w="458" w:type="pct"/>
            <w:shd w:val="clear" w:color="auto" w:fill="D9D9D9" w:themeFill="background1" w:themeFillShade="D9"/>
            <w:vAlign w:val="center"/>
            <w:hideMark/>
          </w:tcPr>
          <w:p w14:paraId="4AF17EDF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  <w:hideMark/>
          </w:tcPr>
          <w:p w14:paraId="2D9D20CE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Points</w:t>
            </w:r>
            <w:r>
              <w:rPr>
                <w:b/>
                <w:bCs/>
              </w:rPr>
              <w:t xml:space="preserve"> </w:t>
            </w:r>
            <w:r w:rsidRPr="00B27C39">
              <w:rPr>
                <w:b/>
                <w:bCs/>
              </w:rPr>
              <w:t>10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  <w:hideMark/>
          </w:tcPr>
          <w:p w14:paraId="000058FB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Points</w:t>
            </w:r>
            <w:r>
              <w:rPr>
                <w:b/>
                <w:bCs/>
              </w:rPr>
              <w:t xml:space="preserve"> </w:t>
            </w:r>
            <w:r w:rsidRPr="00B27C39">
              <w:rPr>
                <w:b/>
                <w:bCs/>
              </w:rPr>
              <w:t>5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  <w:hideMark/>
          </w:tcPr>
          <w:p w14:paraId="28623601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Point</w:t>
            </w:r>
            <w:r>
              <w:rPr>
                <w:b/>
                <w:bCs/>
              </w:rPr>
              <w:t>s</w:t>
            </w:r>
            <w:r w:rsidRPr="00B27C39">
              <w:rPr>
                <w:b/>
                <w:bCs/>
              </w:rPr>
              <w:t>0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  <w:hideMark/>
          </w:tcPr>
          <w:p w14:paraId="5ABE8D45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</w:tr>
      <w:tr w:rsidR="00E45E2F" w:rsidRPr="00B27C39" w14:paraId="359840AC" w14:textId="77777777" w:rsidTr="00EE084D">
        <w:trPr>
          <w:trHeight w:val="840"/>
        </w:trPr>
        <w:tc>
          <w:tcPr>
            <w:tcW w:w="5000" w:type="pct"/>
            <w:gridSpan w:val="9"/>
            <w:shd w:val="clear" w:color="auto" w:fill="E7E6E6" w:themeFill="background2"/>
            <w:vAlign w:val="center"/>
            <w:hideMark/>
          </w:tcPr>
          <w:p w14:paraId="04FE949F" w14:textId="77777777" w:rsidR="00E45E2F" w:rsidRPr="00B27C39" w:rsidRDefault="00E45E2F" w:rsidP="00EE084D">
            <w:pPr>
              <w:jc w:val="center"/>
              <w:rPr>
                <w:b/>
                <w:bCs/>
              </w:rPr>
            </w:pPr>
            <w:r w:rsidRPr="00B27C39">
              <w:rPr>
                <w:b/>
                <w:bCs/>
              </w:rPr>
              <w:t>Project Performance 70%</w:t>
            </w:r>
            <w:r w:rsidRPr="00B27C39">
              <w:rPr>
                <w:b/>
                <w:bCs/>
              </w:rPr>
              <w:br/>
              <w:t>Achieving project outcomes provides a benchmark for how well projects help to end homelessness.  Assessing &amp; monitoring project outcomes is necessary to understand a project's rate of success and contribution to CoC-wide performance goals.</w:t>
            </w:r>
          </w:p>
        </w:tc>
      </w:tr>
      <w:tr w:rsidR="00E45E2F" w:rsidRPr="00D44336" w14:paraId="493674F1" w14:textId="77777777" w:rsidTr="00EE084D">
        <w:trPr>
          <w:trHeight w:val="288"/>
        </w:trPr>
        <w:tc>
          <w:tcPr>
            <w:tcW w:w="873" w:type="pct"/>
            <w:vMerge w:val="restart"/>
            <w:hideMark/>
          </w:tcPr>
          <w:p w14:paraId="2CF5E712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5A76">
              <w:rPr>
                <w:rFonts w:cstheme="minorHAnsi"/>
                <w:b/>
                <w:bCs/>
                <w:sz w:val="20"/>
                <w:szCs w:val="20"/>
              </w:rPr>
              <w:t>Quarterly Occupancy Utilization Rate</w:t>
            </w:r>
          </w:p>
        </w:tc>
        <w:tc>
          <w:tcPr>
            <w:tcW w:w="792" w:type="pct"/>
            <w:vMerge w:val="restart"/>
            <w:hideMark/>
          </w:tcPr>
          <w:p w14:paraId="70AE562F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Household utilization rates demonstrate that the CoC is fully utilizing its inventory.</w:t>
            </w:r>
            <w:r w:rsidRPr="00505A76">
              <w:rPr>
                <w:rFonts w:cstheme="minorHAnsi"/>
                <w:sz w:val="20"/>
                <w:szCs w:val="20"/>
              </w:rPr>
              <w:br/>
              <w:t>APR Q8b &amp; Application</w:t>
            </w:r>
          </w:p>
        </w:tc>
        <w:tc>
          <w:tcPr>
            <w:tcW w:w="877" w:type="pct"/>
            <w:hideMark/>
          </w:tcPr>
          <w:p w14:paraId="6B2D2F33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 xml:space="preserve">January Total </w:t>
            </w:r>
          </w:p>
        </w:tc>
        <w:tc>
          <w:tcPr>
            <w:tcW w:w="334" w:type="pct"/>
            <w:vAlign w:val="center"/>
          </w:tcPr>
          <w:p w14:paraId="3F78A78C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458" w:type="pct"/>
            <w:vMerge w:val="restart"/>
            <w:vAlign w:val="center"/>
          </w:tcPr>
          <w:p w14:paraId="12C06E9E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100.00%</w:t>
            </w:r>
          </w:p>
        </w:tc>
        <w:tc>
          <w:tcPr>
            <w:tcW w:w="459" w:type="pct"/>
            <w:vMerge w:val="restart"/>
            <w:vAlign w:val="center"/>
            <w:hideMark/>
          </w:tcPr>
          <w:p w14:paraId="7B60652F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&gt;=90%</w:t>
            </w:r>
          </w:p>
        </w:tc>
        <w:tc>
          <w:tcPr>
            <w:tcW w:w="422" w:type="pct"/>
            <w:vMerge w:val="restart"/>
            <w:vAlign w:val="center"/>
            <w:hideMark/>
          </w:tcPr>
          <w:p w14:paraId="3C16A859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70% - 89%</w:t>
            </w:r>
          </w:p>
        </w:tc>
        <w:tc>
          <w:tcPr>
            <w:tcW w:w="416" w:type="pct"/>
            <w:vMerge w:val="restart"/>
            <w:vAlign w:val="center"/>
            <w:hideMark/>
          </w:tcPr>
          <w:p w14:paraId="4C4523F1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&lt;= 69%</w:t>
            </w:r>
          </w:p>
        </w:tc>
        <w:tc>
          <w:tcPr>
            <w:tcW w:w="369" w:type="pct"/>
            <w:vMerge w:val="restart"/>
            <w:vAlign w:val="center"/>
            <w:hideMark/>
          </w:tcPr>
          <w:p w14:paraId="1380A494" w14:textId="77777777" w:rsidR="00E45E2F" w:rsidRPr="00B573E4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10</w:t>
            </w:r>
          </w:p>
        </w:tc>
      </w:tr>
      <w:tr w:rsidR="00E45E2F" w:rsidRPr="00D44336" w14:paraId="58D89155" w14:textId="77777777" w:rsidTr="00EE084D">
        <w:trPr>
          <w:trHeight w:val="288"/>
        </w:trPr>
        <w:tc>
          <w:tcPr>
            <w:tcW w:w="873" w:type="pct"/>
            <w:vMerge/>
            <w:hideMark/>
          </w:tcPr>
          <w:p w14:paraId="49311DB6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vMerge/>
            <w:hideMark/>
          </w:tcPr>
          <w:p w14:paraId="7C4DB8FD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  <w:hideMark/>
          </w:tcPr>
          <w:p w14:paraId="4CBEB500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 xml:space="preserve">April Total </w:t>
            </w:r>
          </w:p>
        </w:tc>
        <w:tc>
          <w:tcPr>
            <w:tcW w:w="334" w:type="pct"/>
            <w:vAlign w:val="center"/>
          </w:tcPr>
          <w:p w14:paraId="4B329AD7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458" w:type="pct"/>
            <w:vMerge/>
            <w:vAlign w:val="center"/>
            <w:hideMark/>
          </w:tcPr>
          <w:p w14:paraId="6F6AFBC6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14:paraId="7649DAAE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0A5739E1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4F54192C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68567BCF" w14:textId="77777777" w:rsidR="00E45E2F" w:rsidRPr="00654E63" w:rsidRDefault="00E45E2F" w:rsidP="00EE084D">
            <w:pPr>
              <w:jc w:val="center"/>
              <w:rPr>
                <w:sz w:val="20"/>
                <w:szCs w:val="20"/>
              </w:rPr>
            </w:pPr>
          </w:p>
        </w:tc>
      </w:tr>
      <w:tr w:rsidR="00E45E2F" w:rsidRPr="00D44336" w14:paraId="150F3715" w14:textId="77777777" w:rsidTr="00EE084D">
        <w:trPr>
          <w:trHeight w:val="288"/>
        </w:trPr>
        <w:tc>
          <w:tcPr>
            <w:tcW w:w="873" w:type="pct"/>
            <w:vMerge/>
            <w:hideMark/>
          </w:tcPr>
          <w:p w14:paraId="074C619E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vMerge/>
            <w:hideMark/>
          </w:tcPr>
          <w:p w14:paraId="1849A7EB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  <w:hideMark/>
          </w:tcPr>
          <w:p w14:paraId="5CBB9AB7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 xml:space="preserve">July Total </w:t>
            </w:r>
          </w:p>
        </w:tc>
        <w:tc>
          <w:tcPr>
            <w:tcW w:w="334" w:type="pct"/>
            <w:vAlign w:val="center"/>
          </w:tcPr>
          <w:p w14:paraId="242B4F1A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458" w:type="pct"/>
            <w:vMerge/>
            <w:vAlign w:val="center"/>
            <w:hideMark/>
          </w:tcPr>
          <w:p w14:paraId="2C864C26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14:paraId="37240E05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7D3AA2D7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4D8607D1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29E6C48E" w14:textId="77777777" w:rsidR="00E45E2F" w:rsidRPr="00654E63" w:rsidRDefault="00E45E2F" w:rsidP="00EE084D">
            <w:pPr>
              <w:jc w:val="center"/>
              <w:rPr>
                <w:sz w:val="20"/>
                <w:szCs w:val="20"/>
              </w:rPr>
            </w:pPr>
          </w:p>
        </w:tc>
      </w:tr>
      <w:tr w:rsidR="00E45E2F" w:rsidRPr="00D44336" w14:paraId="2D7FFC22" w14:textId="77777777" w:rsidTr="00EE084D">
        <w:trPr>
          <w:trHeight w:val="288"/>
        </w:trPr>
        <w:tc>
          <w:tcPr>
            <w:tcW w:w="873" w:type="pct"/>
            <w:vMerge/>
            <w:hideMark/>
          </w:tcPr>
          <w:p w14:paraId="03C0DCA7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vMerge/>
            <w:hideMark/>
          </w:tcPr>
          <w:p w14:paraId="18DD92BD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  <w:hideMark/>
          </w:tcPr>
          <w:p w14:paraId="07532C9D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 xml:space="preserve">October Total </w:t>
            </w:r>
          </w:p>
        </w:tc>
        <w:tc>
          <w:tcPr>
            <w:tcW w:w="334" w:type="pct"/>
            <w:vAlign w:val="center"/>
          </w:tcPr>
          <w:p w14:paraId="1CE32F3F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458" w:type="pct"/>
            <w:vMerge/>
            <w:vAlign w:val="center"/>
            <w:hideMark/>
          </w:tcPr>
          <w:p w14:paraId="52983DCE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14:paraId="3587F156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3B42407E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77B0E9DA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5908465B" w14:textId="77777777" w:rsidR="00E45E2F" w:rsidRPr="00654E63" w:rsidRDefault="00E45E2F" w:rsidP="00EE084D">
            <w:pPr>
              <w:jc w:val="center"/>
              <w:rPr>
                <w:sz w:val="20"/>
                <w:szCs w:val="20"/>
              </w:rPr>
            </w:pPr>
          </w:p>
        </w:tc>
      </w:tr>
      <w:tr w:rsidR="00E45E2F" w:rsidRPr="00D44336" w14:paraId="6DED9CC1" w14:textId="77777777" w:rsidTr="00EE084D">
        <w:trPr>
          <w:trHeight w:val="288"/>
        </w:trPr>
        <w:tc>
          <w:tcPr>
            <w:tcW w:w="873" w:type="pct"/>
            <w:vMerge/>
            <w:hideMark/>
          </w:tcPr>
          <w:p w14:paraId="21F86D7C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vMerge/>
            <w:hideMark/>
          </w:tcPr>
          <w:p w14:paraId="528CEC50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  <w:hideMark/>
          </w:tcPr>
          <w:p w14:paraId="035290BC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Adjusted Total</w:t>
            </w:r>
          </w:p>
        </w:tc>
        <w:tc>
          <w:tcPr>
            <w:tcW w:w="334" w:type="pct"/>
            <w:vAlign w:val="center"/>
          </w:tcPr>
          <w:p w14:paraId="11871D58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458" w:type="pct"/>
            <w:vMerge/>
            <w:vAlign w:val="center"/>
            <w:hideMark/>
          </w:tcPr>
          <w:p w14:paraId="077D706C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14:paraId="724E933B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4B7340E2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1F8D0116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7F6F5A71" w14:textId="77777777" w:rsidR="00E45E2F" w:rsidRPr="00654E63" w:rsidRDefault="00E45E2F" w:rsidP="00EE084D">
            <w:pPr>
              <w:jc w:val="center"/>
              <w:rPr>
                <w:sz w:val="20"/>
                <w:szCs w:val="20"/>
              </w:rPr>
            </w:pPr>
          </w:p>
        </w:tc>
      </w:tr>
      <w:tr w:rsidR="00E45E2F" w:rsidRPr="00D44336" w14:paraId="44F2F767" w14:textId="77777777" w:rsidTr="00EE084D">
        <w:trPr>
          <w:trHeight w:val="296"/>
        </w:trPr>
        <w:tc>
          <w:tcPr>
            <w:tcW w:w="873" w:type="pct"/>
            <w:vMerge/>
            <w:hideMark/>
          </w:tcPr>
          <w:p w14:paraId="4FA3941E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vMerge/>
            <w:hideMark/>
          </w:tcPr>
          <w:p w14:paraId="5176346A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  <w:hideMark/>
          </w:tcPr>
          <w:p w14:paraId="3EC5A777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Proposed number of households served</w:t>
            </w:r>
          </w:p>
        </w:tc>
        <w:tc>
          <w:tcPr>
            <w:tcW w:w="334" w:type="pct"/>
            <w:vAlign w:val="center"/>
          </w:tcPr>
          <w:p w14:paraId="3FB65BB8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458" w:type="pct"/>
            <w:vMerge/>
            <w:vAlign w:val="center"/>
            <w:hideMark/>
          </w:tcPr>
          <w:p w14:paraId="51E9735D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14:paraId="03FBA89B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687FF269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0F839784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46584F9C" w14:textId="77777777" w:rsidR="00E45E2F" w:rsidRPr="00654E63" w:rsidRDefault="00E45E2F" w:rsidP="00EE084D">
            <w:pPr>
              <w:jc w:val="center"/>
              <w:rPr>
                <w:sz w:val="20"/>
                <w:szCs w:val="20"/>
              </w:rPr>
            </w:pPr>
          </w:p>
        </w:tc>
      </w:tr>
      <w:tr w:rsidR="00E45E2F" w:rsidRPr="00D44336" w14:paraId="1CFBF361" w14:textId="77777777" w:rsidTr="00EE084D">
        <w:trPr>
          <w:trHeight w:val="1871"/>
        </w:trPr>
        <w:tc>
          <w:tcPr>
            <w:tcW w:w="873" w:type="pct"/>
            <w:vMerge w:val="restart"/>
            <w:hideMark/>
          </w:tcPr>
          <w:p w14:paraId="3809FB31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5A76">
              <w:rPr>
                <w:rFonts w:cstheme="minorHAnsi"/>
                <w:b/>
                <w:bCs/>
                <w:sz w:val="20"/>
                <w:szCs w:val="20"/>
              </w:rPr>
              <w:t>Percentage of chronically homeless households served</w:t>
            </w:r>
          </w:p>
        </w:tc>
        <w:tc>
          <w:tcPr>
            <w:tcW w:w="792" w:type="pct"/>
            <w:vMerge w:val="restart"/>
            <w:hideMark/>
          </w:tcPr>
          <w:p w14:paraId="71F6594B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Indicates community success in ending chronic homelessness by measuring the number of chronically homeless participants served in the project during the measured year.</w:t>
            </w:r>
            <w:r w:rsidRPr="00505A76">
              <w:rPr>
                <w:rFonts w:cstheme="minorHAnsi"/>
                <w:sz w:val="20"/>
                <w:szCs w:val="20"/>
              </w:rPr>
              <w:br/>
              <w:t>APR Q26a</w:t>
            </w:r>
          </w:p>
        </w:tc>
        <w:tc>
          <w:tcPr>
            <w:tcW w:w="877" w:type="pct"/>
            <w:hideMark/>
          </w:tcPr>
          <w:p w14:paraId="12CC91ED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Total Chronically Homeless Households served</w:t>
            </w:r>
          </w:p>
        </w:tc>
        <w:tc>
          <w:tcPr>
            <w:tcW w:w="334" w:type="pct"/>
            <w:vAlign w:val="center"/>
          </w:tcPr>
          <w:p w14:paraId="4D06F85B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458" w:type="pct"/>
            <w:vMerge w:val="restart"/>
            <w:vAlign w:val="center"/>
          </w:tcPr>
          <w:p w14:paraId="1F728AEF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100.00%</w:t>
            </w:r>
          </w:p>
        </w:tc>
        <w:tc>
          <w:tcPr>
            <w:tcW w:w="459" w:type="pct"/>
            <w:vMerge w:val="restart"/>
            <w:vAlign w:val="center"/>
            <w:hideMark/>
          </w:tcPr>
          <w:p w14:paraId="0848BE6E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PSH: &gt;=46%</w:t>
            </w:r>
          </w:p>
        </w:tc>
        <w:tc>
          <w:tcPr>
            <w:tcW w:w="422" w:type="pct"/>
            <w:vMerge w:val="restart"/>
            <w:vAlign w:val="center"/>
            <w:hideMark/>
          </w:tcPr>
          <w:p w14:paraId="69BE4000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PSH: 40% - 45%</w:t>
            </w:r>
          </w:p>
        </w:tc>
        <w:tc>
          <w:tcPr>
            <w:tcW w:w="416" w:type="pct"/>
            <w:vMerge w:val="restart"/>
            <w:vAlign w:val="center"/>
            <w:hideMark/>
          </w:tcPr>
          <w:p w14:paraId="42AA2920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PSH: &lt;= 39%</w:t>
            </w:r>
          </w:p>
        </w:tc>
        <w:tc>
          <w:tcPr>
            <w:tcW w:w="369" w:type="pct"/>
            <w:vMerge w:val="restart"/>
            <w:vAlign w:val="center"/>
            <w:hideMark/>
          </w:tcPr>
          <w:p w14:paraId="14F88466" w14:textId="77777777" w:rsidR="00E45E2F" w:rsidRPr="00B573E4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10</w:t>
            </w:r>
          </w:p>
        </w:tc>
      </w:tr>
      <w:tr w:rsidR="00E45E2F" w:rsidRPr="00D44336" w14:paraId="42F59121" w14:textId="77777777" w:rsidTr="00EE084D">
        <w:trPr>
          <w:trHeight w:val="1430"/>
        </w:trPr>
        <w:tc>
          <w:tcPr>
            <w:tcW w:w="873" w:type="pct"/>
            <w:vMerge/>
            <w:hideMark/>
          </w:tcPr>
          <w:p w14:paraId="08B49E2B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vMerge/>
            <w:hideMark/>
          </w:tcPr>
          <w:p w14:paraId="14248781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  <w:hideMark/>
          </w:tcPr>
          <w:p w14:paraId="586F15F6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Total Households served</w:t>
            </w:r>
          </w:p>
        </w:tc>
        <w:tc>
          <w:tcPr>
            <w:tcW w:w="334" w:type="pct"/>
            <w:vAlign w:val="center"/>
            <w:hideMark/>
          </w:tcPr>
          <w:p w14:paraId="38AA5DC0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458" w:type="pct"/>
            <w:vMerge/>
            <w:vAlign w:val="center"/>
            <w:hideMark/>
          </w:tcPr>
          <w:p w14:paraId="7ADB715A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14:paraId="4F988B65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2A288BB7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7084C624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30B24B0A" w14:textId="77777777" w:rsidR="00E45E2F" w:rsidRPr="00B573E4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E2F" w:rsidRPr="00D44336" w14:paraId="15F93ABD" w14:textId="77777777" w:rsidTr="00EE084D">
        <w:trPr>
          <w:trHeight w:val="521"/>
        </w:trPr>
        <w:tc>
          <w:tcPr>
            <w:tcW w:w="873" w:type="pct"/>
            <w:vMerge w:val="restart"/>
            <w:hideMark/>
          </w:tcPr>
          <w:p w14:paraId="61CD784D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5A76">
              <w:rPr>
                <w:rFonts w:cstheme="minorHAnsi"/>
                <w:b/>
                <w:bCs/>
                <w:sz w:val="20"/>
                <w:szCs w:val="20"/>
              </w:rPr>
              <w:t>Percentage of participants who remained in PSH or exited to permanent housing</w:t>
            </w:r>
          </w:p>
        </w:tc>
        <w:tc>
          <w:tcPr>
            <w:tcW w:w="792" w:type="pct"/>
            <w:vMerge w:val="restart"/>
            <w:hideMark/>
          </w:tcPr>
          <w:p w14:paraId="228D0F98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 xml:space="preserve">Successful housing outcomes are one of the most important measures of project success. </w:t>
            </w:r>
            <w:r w:rsidRPr="00505A76">
              <w:rPr>
                <w:rFonts w:cstheme="minorHAnsi"/>
                <w:sz w:val="20"/>
                <w:szCs w:val="20"/>
              </w:rPr>
              <w:br/>
              <w:t>APR Q23c</w:t>
            </w:r>
          </w:p>
        </w:tc>
        <w:tc>
          <w:tcPr>
            <w:tcW w:w="877" w:type="pct"/>
            <w:hideMark/>
          </w:tcPr>
          <w:p w14:paraId="189C0A18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Total Number of Persons Served</w:t>
            </w:r>
          </w:p>
        </w:tc>
        <w:tc>
          <w:tcPr>
            <w:tcW w:w="334" w:type="pct"/>
            <w:vAlign w:val="center"/>
          </w:tcPr>
          <w:p w14:paraId="353C0653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458" w:type="pct"/>
            <w:vMerge w:val="restart"/>
            <w:vAlign w:val="center"/>
            <w:hideMark/>
          </w:tcPr>
          <w:p w14:paraId="5ACB5C31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100.00%</w:t>
            </w:r>
          </w:p>
        </w:tc>
        <w:tc>
          <w:tcPr>
            <w:tcW w:w="459" w:type="pct"/>
            <w:vMerge w:val="restart"/>
            <w:vAlign w:val="center"/>
            <w:hideMark/>
          </w:tcPr>
          <w:p w14:paraId="469CACED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PSH:</w:t>
            </w:r>
          </w:p>
          <w:p w14:paraId="03A2D3DF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&gt;= 99%</w:t>
            </w:r>
            <w:r w:rsidRPr="00505A76">
              <w:rPr>
                <w:rFonts w:cstheme="minorHAnsi"/>
                <w:sz w:val="20"/>
                <w:szCs w:val="20"/>
              </w:rPr>
              <w:br/>
              <w:t>RRH:</w:t>
            </w:r>
          </w:p>
          <w:p w14:paraId="18A6C856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&gt;= 91%    TH:</w:t>
            </w:r>
          </w:p>
          <w:p w14:paraId="5160592B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&gt;= 81%</w:t>
            </w:r>
          </w:p>
        </w:tc>
        <w:tc>
          <w:tcPr>
            <w:tcW w:w="422" w:type="pct"/>
            <w:vMerge w:val="restart"/>
            <w:vAlign w:val="center"/>
            <w:hideMark/>
          </w:tcPr>
          <w:p w14:paraId="78499CDC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PSH: 93% - 98%</w:t>
            </w:r>
            <w:r w:rsidRPr="00505A76">
              <w:rPr>
                <w:rFonts w:cstheme="minorHAnsi"/>
                <w:sz w:val="20"/>
                <w:szCs w:val="20"/>
              </w:rPr>
              <w:br/>
              <w:t>RRH: 85% - 95%      TH:</w:t>
            </w:r>
          </w:p>
          <w:p w14:paraId="3B13A6BF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75% - 80%</w:t>
            </w:r>
          </w:p>
        </w:tc>
        <w:tc>
          <w:tcPr>
            <w:tcW w:w="416" w:type="pct"/>
            <w:vMerge w:val="restart"/>
            <w:vAlign w:val="center"/>
            <w:hideMark/>
          </w:tcPr>
          <w:p w14:paraId="7BF0CCEB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PSH:</w:t>
            </w:r>
          </w:p>
          <w:p w14:paraId="5FF243E9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&lt;= 92%</w:t>
            </w:r>
            <w:r w:rsidRPr="00505A76">
              <w:rPr>
                <w:rFonts w:cstheme="minorHAnsi"/>
                <w:sz w:val="20"/>
                <w:szCs w:val="20"/>
              </w:rPr>
              <w:br/>
              <w:t>RRH:</w:t>
            </w:r>
          </w:p>
          <w:p w14:paraId="6C243B40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&lt;= 84%     TH:</w:t>
            </w:r>
          </w:p>
          <w:p w14:paraId="4501FEE2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&lt;= 74%</w:t>
            </w:r>
          </w:p>
        </w:tc>
        <w:tc>
          <w:tcPr>
            <w:tcW w:w="369" w:type="pct"/>
            <w:vMerge w:val="restart"/>
            <w:vAlign w:val="center"/>
            <w:hideMark/>
          </w:tcPr>
          <w:p w14:paraId="789C0F05" w14:textId="77777777" w:rsidR="00E45E2F" w:rsidRPr="00B573E4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10</w:t>
            </w:r>
          </w:p>
        </w:tc>
      </w:tr>
      <w:tr w:rsidR="00E45E2F" w:rsidRPr="00D44336" w14:paraId="569F5F78" w14:textId="77777777" w:rsidTr="00EE084D">
        <w:trPr>
          <w:trHeight w:val="710"/>
        </w:trPr>
        <w:tc>
          <w:tcPr>
            <w:tcW w:w="873" w:type="pct"/>
            <w:vMerge/>
            <w:hideMark/>
          </w:tcPr>
          <w:p w14:paraId="154F2B52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vMerge/>
            <w:hideMark/>
          </w:tcPr>
          <w:p w14:paraId="193DA748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  <w:hideMark/>
          </w:tcPr>
          <w:p w14:paraId="6D473B5D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Total Exiting to Positive Destinations</w:t>
            </w:r>
          </w:p>
        </w:tc>
        <w:tc>
          <w:tcPr>
            <w:tcW w:w="334" w:type="pct"/>
            <w:vAlign w:val="center"/>
          </w:tcPr>
          <w:p w14:paraId="60BD4031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458" w:type="pct"/>
            <w:vMerge/>
            <w:vAlign w:val="center"/>
            <w:hideMark/>
          </w:tcPr>
          <w:p w14:paraId="575476BC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14:paraId="5E5BE974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0717FB35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3E0CE198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0F3746AF" w14:textId="77777777" w:rsidR="00E45E2F" w:rsidRPr="00B573E4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E2F" w:rsidRPr="00D44336" w14:paraId="225FA3C0" w14:textId="77777777" w:rsidTr="00EE084D">
        <w:trPr>
          <w:trHeight w:val="251"/>
        </w:trPr>
        <w:tc>
          <w:tcPr>
            <w:tcW w:w="873" w:type="pct"/>
            <w:vMerge/>
            <w:hideMark/>
          </w:tcPr>
          <w:p w14:paraId="3B1E6BC4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vMerge/>
            <w:hideMark/>
          </w:tcPr>
          <w:p w14:paraId="19190AA2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  <w:hideMark/>
          </w:tcPr>
          <w:p w14:paraId="70B9A6D1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Total Exits</w:t>
            </w:r>
          </w:p>
        </w:tc>
        <w:tc>
          <w:tcPr>
            <w:tcW w:w="334" w:type="pct"/>
            <w:vAlign w:val="center"/>
          </w:tcPr>
          <w:p w14:paraId="1D418216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458" w:type="pct"/>
            <w:vMerge/>
            <w:vAlign w:val="center"/>
            <w:hideMark/>
          </w:tcPr>
          <w:p w14:paraId="752837AB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14:paraId="22EC855F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66C556DD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3BA255D2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5DC32497" w14:textId="77777777" w:rsidR="00E45E2F" w:rsidRPr="00B573E4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E2F" w:rsidRPr="00D44336" w14:paraId="29547A92" w14:textId="77777777" w:rsidTr="00EE084D">
        <w:trPr>
          <w:trHeight w:val="251"/>
        </w:trPr>
        <w:tc>
          <w:tcPr>
            <w:tcW w:w="873" w:type="pct"/>
            <w:vMerge/>
            <w:hideMark/>
          </w:tcPr>
          <w:p w14:paraId="4A19CFFF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vMerge/>
            <w:hideMark/>
          </w:tcPr>
          <w:p w14:paraId="5B4D3BE8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  <w:hideMark/>
          </w:tcPr>
          <w:p w14:paraId="3D001E0E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Total Deceased</w:t>
            </w:r>
          </w:p>
        </w:tc>
        <w:tc>
          <w:tcPr>
            <w:tcW w:w="334" w:type="pct"/>
            <w:vAlign w:val="center"/>
          </w:tcPr>
          <w:p w14:paraId="488DD2B5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458" w:type="pct"/>
            <w:vMerge/>
            <w:vAlign w:val="center"/>
            <w:hideMark/>
          </w:tcPr>
          <w:p w14:paraId="03D93882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14:paraId="3F598308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68049F66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1463EF90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14:paraId="58EA232E" w14:textId="77777777" w:rsidR="00E45E2F" w:rsidRPr="00B573E4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E2F" w:rsidRPr="00D44336" w14:paraId="187FA725" w14:textId="77777777" w:rsidTr="00EE084D">
        <w:trPr>
          <w:trHeight w:val="269"/>
        </w:trPr>
        <w:tc>
          <w:tcPr>
            <w:tcW w:w="873" w:type="pct"/>
            <w:vMerge/>
            <w:hideMark/>
          </w:tcPr>
          <w:p w14:paraId="28EF0B3B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vMerge/>
            <w:tcBorders>
              <w:bottom w:val="single" w:sz="4" w:space="0" w:color="auto"/>
            </w:tcBorders>
            <w:hideMark/>
          </w:tcPr>
          <w:p w14:paraId="758EA841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  <w:hideMark/>
          </w:tcPr>
          <w:p w14:paraId="7CD9ACF0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Unsuccessful Exits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45CC5F9C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C7CB737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78DA71F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05150EA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A99F621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F8410A7" w14:textId="77777777" w:rsidR="00E45E2F" w:rsidRPr="00B573E4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E2F" w:rsidRPr="00D44336" w14:paraId="491C4175" w14:textId="77777777" w:rsidTr="00EE084D">
        <w:trPr>
          <w:trHeight w:val="1250"/>
        </w:trPr>
        <w:tc>
          <w:tcPr>
            <w:tcW w:w="873" w:type="pct"/>
            <w:shd w:val="clear" w:color="auto" w:fill="auto"/>
          </w:tcPr>
          <w:p w14:paraId="743BED10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Average number of days </w:t>
            </w:r>
            <w:r w:rsidRPr="00505A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to move in at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project </w:t>
            </w:r>
            <w:r w:rsidRPr="00505A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entry</w:t>
            </w:r>
          </w:p>
        </w:tc>
        <w:tc>
          <w:tcPr>
            <w:tcW w:w="2003" w:type="pct"/>
            <w:gridSpan w:val="3"/>
            <w:shd w:val="clear" w:color="auto" w:fill="auto"/>
          </w:tcPr>
          <w:p w14:paraId="3A02689D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color w:val="000000"/>
                <w:sz w:val="20"/>
                <w:szCs w:val="20"/>
              </w:rPr>
              <w:t>The Housing Move in Date is collected to measure how long it takes for a client to physically move into housing from the time of project enrollment and gives a clear picture of whether the client is homeless or housed. APR Q22c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97414CC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NA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54E8DB5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color w:val="000000"/>
                <w:sz w:val="20"/>
                <w:szCs w:val="20"/>
              </w:rPr>
              <w:t>PSH &amp; RRH: 24 Days or Less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19F2A0C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color w:val="000000"/>
                <w:sz w:val="20"/>
                <w:szCs w:val="20"/>
              </w:rPr>
              <w:t>PSH &amp; RRH: 25-35 Days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21D11A3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color w:val="000000"/>
                <w:sz w:val="20"/>
                <w:szCs w:val="20"/>
              </w:rPr>
              <w:t>PSH &amp; RRH: 36 Days or More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03A56AF" w14:textId="77777777" w:rsidR="00E45E2F" w:rsidRPr="00B573E4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NA</w:t>
            </w:r>
          </w:p>
        </w:tc>
      </w:tr>
      <w:tr w:rsidR="00E45E2F" w:rsidRPr="00D44336" w14:paraId="050A5AE8" w14:textId="77777777" w:rsidTr="00EE084D">
        <w:trPr>
          <w:trHeight w:val="1610"/>
        </w:trPr>
        <w:tc>
          <w:tcPr>
            <w:tcW w:w="873" w:type="pct"/>
            <w:hideMark/>
          </w:tcPr>
          <w:p w14:paraId="5C07F3BA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5A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Percentage of adult stayers at annual assessment who gained, </w:t>
            </w:r>
            <w:proofErr w:type="gramStart"/>
            <w:r w:rsidRPr="00505A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maintained</w:t>
            </w:r>
            <w:proofErr w:type="gramEnd"/>
            <w:r w:rsidRPr="00505A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or increased employment income</w:t>
            </w:r>
          </w:p>
        </w:tc>
        <w:tc>
          <w:tcPr>
            <w:tcW w:w="2003" w:type="pct"/>
            <w:gridSpan w:val="3"/>
            <w:hideMark/>
          </w:tcPr>
          <w:p w14:paraId="381E18B0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color w:val="000000"/>
                <w:sz w:val="20"/>
                <w:szCs w:val="20"/>
              </w:rPr>
              <w:t>Improving household access to financial resources is crucial to reducing vulnerability to homelessness.  Increase in income is measured in the NOFA &amp; System Performance Measures</w:t>
            </w:r>
            <w:r w:rsidRPr="00505A76">
              <w:rPr>
                <w:rFonts w:cstheme="minorHAnsi"/>
                <w:color w:val="000000"/>
                <w:sz w:val="20"/>
                <w:szCs w:val="20"/>
              </w:rPr>
              <w:br/>
              <w:t>APR Q19a1</w:t>
            </w:r>
          </w:p>
          <w:p w14:paraId="75A5E3E9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782568E3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0.00%</w:t>
            </w:r>
          </w:p>
        </w:tc>
        <w:tc>
          <w:tcPr>
            <w:tcW w:w="459" w:type="pct"/>
            <w:vAlign w:val="center"/>
          </w:tcPr>
          <w:p w14:paraId="4E35C76C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 xml:space="preserve">PSH: &gt;=16% </w:t>
            </w:r>
            <w:r w:rsidRPr="00505A76">
              <w:rPr>
                <w:rFonts w:cstheme="minorHAnsi"/>
                <w:sz w:val="20"/>
                <w:szCs w:val="20"/>
              </w:rPr>
              <w:br/>
              <w:t>RRH &amp; TH:</w:t>
            </w:r>
          </w:p>
          <w:p w14:paraId="003056ED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&gt;= 5%</w:t>
            </w:r>
          </w:p>
        </w:tc>
        <w:tc>
          <w:tcPr>
            <w:tcW w:w="422" w:type="pct"/>
            <w:vAlign w:val="center"/>
          </w:tcPr>
          <w:p w14:paraId="598369A9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PSH:</w:t>
            </w:r>
          </w:p>
          <w:p w14:paraId="21794EA4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10-15%</w:t>
            </w:r>
            <w:r w:rsidRPr="00505A76">
              <w:rPr>
                <w:rFonts w:cstheme="minorHAnsi"/>
                <w:sz w:val="20"/>
                <w:szCs w:val="20"/>
              </w:rPr>
              <w:br/>
              <w:t>RRH &amp; TH:</w:t>
            </w:r>
          </w:p>
          <w:p w14:paraId="45CAAE10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2-4%</w:t>
            </w:r>
          </w:p>
        </w:tc>
        <w:tc>
          <w:tcPr>
            <w:tcW w:w="416" w:type="pct"/>
            <w:vAlign w:val="center"/>
          </w:tcPr>
          <w:p w14:paraId="0B847668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 xml:space="preserve">PSH: &lt;=9% </w:t>
            </w:r>
            <w:r w:rsidRPr="00505A76">
              <w:rPr>
                <w:rFonts w:cstheme="minorHAnsi"/>
                <w:sz w:val="20"/>
                <w:szCs w:val="20"/>
              </w:rPr>
              <w:br/>
              <w:t>RRH &amp; TH: &lt;=1%</w:t>
            </w:r>
          </w:p>
        </w:tc>
        <w:tc>
          <w:tcPr>
            <w:tcW w:w="369" w:type="pct"/>
            <w:vAlign w:val="center"/>
            <w:hideMark/>
          </w:tcPr>
          <w:p w14:paraId="73BF180B" w14:textId="77777777" w:rsidR="00E45E2F" w:rsidRPr="00B573E4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0</w:t>
            </w:r>
          </w:p>
        </w:tc>
      </w:tr>
      <w:tr w:rsidR="00E45E2F" w:rsidRPr="00D44336" w14:paraId="2D7C352B" w14:textId="77777777" w:rsidTr="00EE084D">
        <w:trPr>
          <w:trHeight w:val="701"/>
        </w:trPr>
        <w:tc>
          <w:tcPr>
            <w:tcW w:w="873" w:type="pct"/>
          </w:tcPr>
          <w:p w14:paraId="794E21F6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5A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Percentage of adult leavers at exit who gained, </w:t>
            </w:r>
            <w:proofErr w:type="gramStart"/>
            <w:r w:rsidRPr="00505A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maintained</w:t>
            </w:r>
            <w:proofErr w:type="gramEnd"/>
            <w:r w:rsidRPr="00505A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5A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or increased employment income</w:t>
            </w:r>
          </w:p>
        </w:tc>
        <w:tc>
          <w:tcPr>
            <w:tcW w:w="2003" w:type="pct"/>
            <w:gridSpan w:val="3"/>
          </w:tcPr>
          <w:p w14:paraId="4579D699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Improving household access to financial resources is crucial to reducing vulnerability to homelessness.  Increase in income is measured in </w:t>
            </w:r>
            <w:r w:rsidRPr="00505A76">
              <w:rPr>
                <w:rFonts w:cstheme="minorHAnsi"/>
                <w:color w:val="000000"/>
                <w:sz w:val="20"/>
                <w:szCs w:val="20"/>
              </w:rPr>
              <w:lastRenderedPageBreak/>
              <w:t>the NOFA &amp; System Performance Measures</w:t>
            </w:r>
            <w:r w:rsidRPr="00505A76">
              <w:rPr>
                <w:rFonts w:cstheme="minorHAnsi"/>
                <w:color w:val="000000"/>
                <w:sz w:val="20"/>
                <w:szCs w:val="20"/>
              </w:rPr>
              <w:br/>
              <w:t>APR Q19a2</w:t>
            </w:r>
          </w:p>
          <w:p w14:paraId="6E2A8BB6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vAlign w:val="center"/>
          </w:tcPr>
          <w:p w14:paraId="713EC70A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lastRenderedPageBreak/>
              <w:t>NA</w:t>
            </w:r>
          </w:p>
        </w:tc>
        <w:tc>
          <w:tcPr>
            <w:tcW w:w="459" w:type="pct"/>
            <w:vAlign w:val="center"/>
          </w:tcPr>
          <w:p w14:paraId="1066C9A4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 xml:space="preserve">PSH: &gt;=11% </w:t>
            </w:r>
            <w:r w:rsidRPr="00505A76">
              <w:rPr>
                <w:rFonts w:cstheme="minorHAnsi"/>
                <w:sz w:val="20"/>
                <w:szCs w:val="20"/>
              </w:rPr>
              <w:br/>
              <w:t>RRH:</w:t>
            </w:r>
          </w:p>
          <w:p w14:paraId="5252478F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lastRenderedPageBreak/>
              <w:t>&gt;= 31%</w:t>
            </w:r>
          </w:p>
          <w:p w14:paraId="39900E85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TH: &gt;=16%</w:t>
            </w:r>
          </w:p>
        </w:tc>
        <w:tc>
          <w:tcPr>
            <w:tcW w:w="422" w:type="pct"/>
            <w:vAlign w:val="center"/>
          </w:tcPr>
          <w:p w14:paraId="6689C86D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lastRenderedPageBreak/>
              <w:t>PSH:</w:t>
            </w:r>
          </w:p>
          <w:p w14:paraId="4EDADBB5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5-10%</w:t>
            </w:r>
            <w:r w:rsidRPr="00505A76">
              <w:rPr>
                <w:rFonts w:cstheme="minorHAnsi"/>
                <w:sz w:val="20"/>
                <w:szCs w:val="20"/>
              </w:rPr>
              <w:br/>
              <w:t xml:space="preserve">RRH: </w:t>
            </w:r>
            <w:r w:rsidRPr="00505A76">
              <w:rPr>
                <w:rFonts w:cstheme="minorHAnsi"/>
                <w:sz w:val="20"/>
                <w:szCs w:val="20"/>
              </w:rPr>
              <w:lastRenderedPageBreak/>
              <w:t>25-30%         TH:</w:t>
            </w:r>
          </w:p>
          <w:p w14:paraId="3D2B8DFD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10-15%</w:t>
            </w:r>
          </w:p>
        </w:tc>
        <w:tc>
          <w:tcPr>
            <w:tcW w:w="416" w:type="pct"/>
            <w:vAlign w:val="center"/>
          </w:tcPr>
          <w:p w14:paraId="4AF2F794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lastRenderedPageBreak/>
              <w:t xml:space="preserve">PSH: &lt;=4% </w:t>
            </w:r>
            <w:r w:rsidRPr="00505A76">
              <w:rPr>
                <w:rFonts w:cstheme="minorHAnsi"/>
                <w:sz w:val="20"/>
                <w:szCs w:val="20"/>
              </w:rPr>
              <w:br/>
              <w:t xml:space="preserve">RRH: </w:t>
            </w:r>
            <w:r w:rsidRPr="00505A76">
              <w:rPr>
                <w:rFonts w:cstheme="minorHAnsi"/>
                <w:sz w:val="20"/>
                <w:szCs w:val="20"/>
              </w:rPr>
              <w:lastRenderedPageBreak/>
              <w:t>&lt;=24%    TH: &lt;=9%</w:t>
            </w:r>
          </w:p>
        </w:tc>
        <w:tc>
          <w:tcPr>
            <w:tcW w:w="369" w:type="pct"/>
            <w:vAlign w:val="center"/>
          </w:tcPr>
          <w:p w14:paraId="6610CC58" w14:textId="77777777" w:rsidR="00E45E2F" w:rsidRPr="00B573E4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lastRenderedPageBreak/>
              <w:t>NA</w:t>
            </w:r>
          </w:p>
        </w:tc>
      </w:tr>
      <w:tr w:rsidR="00E45E2F" w:rsidRPr="00D44336" w14:paraId="32AB1E6D" w14:textId="77777777" w:rsidTr="00EE084D">
        <w:trPr>
          <w:trHeight w:val="20"/>
        </w:trPr>
        <w:tc>
          <w:tcPr>
            <w:tcW w:w="873" w:type="pct"/>
          </w:tcPr>
          <w:p w14:paraId="11108D5D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5A76">
              <w:rPr>
                <w:rFonts w:cstheme="minorHAnsi"/>
                <w:b/>
                <w:bCs/>
                <w:sz w:val="20"/>
                <w:szCs w:val="20"/>
              </w:rPr>
              <w:t xml:space="preserve">Percentage of adult stayers at annual assessment who gained, </w:t>
            </w:r>
            <w:proofErr w:type="gramStart"/>
            <w:r w:rsidRPr="00505A76">
              <w:rPr>
                <w:rFonts w:cstheme="minorHAnsi"/>
                <w:b/>
                <w:bCs/>
                <w:sz w:val="20"/>
                <w:szCs w:val="20"/>
              </w:rPr>
              <w:t>maintained</w:t>
            </w:r>
            <w:proofErr w:type="gramEnd"/>
            <w:r w:rsidRPr="00505A76">
              <w:rPr>
                <w:rFonts w:cstheme="minorHAnsi"/>
                <w:b/>
                <w:bCs/>
                <w:sz w:val="20"/>
                <w:szCs w:val="20"/>
              </w:rPr>
              <w:t xml:space="preserve"> or increased non-employment cash income</w:t>
            </w:r>
          </w:p>
        </w:tc>
        <w:tc>
          <w:tcPr>
            <w:tcW w:w="2003" w:type="pct"/>
            <w:gridSpan w:val="3"/>
          </w:tcPr>
          <w:p w14:paraId="430BDAFD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 xml:space="preserve">Improving a household's access to financial resources is crucial to reducing vulnerability to homelessness.  Increase in income is measured through the NOFA &amp; System Performance Measures. </w:t>
            </w:r>
            <w:r w:rsidRPr="00505A76">
              <w:rPr>
                <w:rFonts w:cstheme="minorHAnsi"/>
                <w:sz w:val="20"/>
                <w:szCs w:val="20"/>
              </w:rPr>
              <w:br/>
              <w:t>APR Q19a1</w:t>
            </w:r>
          </w:p>
        </w:tc>
        <w:tc>
          <w:tcPr>
            <w:tcW w:w="458" w:type="pct"/>
            <w:vAlign w:val="center"/>
          </w:tcPr>
          <w:p w14:paraId="38DCEA36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100.00%</w:t>
            </w:r>
          </w:p>
        </w:tc>
        <w:tc>
          <w:tcPr>
            <w:tcW w:w="459" w:type="pct"/>
            <w:vAlign w:val="center"/>
          </w:tcPr>
          <w:p w14:paraId="0E11EC57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 xml:space="preserve">PSH: &gt;=61% </w:t>
            </w:r>
            <w:r w:rsidRPr="00505A76">
              <w:rPr>
                <w:rFonts w:cstheme="minorHAnsi"/>
                <w:sz w:val="20"/>
                <w:szCs w:val="20"/>
              </w:rPr>
              <w:br/>
              <w:t>RRH: &gt;= 5%         TH: &gt;=53%</w:t>
            </w:r>
          </w:p>
        </w:tc>
        <w:tc>
          <w:tcPr>
            <w:tcW w:w="422" w:type="pct"/>
            <w:vAlign w:val="center"/>
          </w:tcPr>
          <w:p w14:paraId="60A48D76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PSH:</w:t>
            </w:r>
          </w:p>
          <w:p w14:paraId="23D3C920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55-60%</w:t>
            </w:r>
            <w:r w:rsidRPr="00505A76">
              <w:rPr>
                <w:rFonts w:cstheme="minorHAnsi"/>
                <w:sz w:val="20"/>
                <w:szCs w:val="20"/>
              </w:rPr>
              <w:br/>
              <w:t>RRH:</w:t>
            </w:r>
          </w:p>
          <w:p w14:paraId="0ED7A1A0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2-4%            TH:</w:t>
            </w:r>
          </w:p>
          <w:p w14:paraId="0160382B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47-52%</w:t>
            </w:r>
          </w:p>
        </w:tc>
        <w:tc>
          <w:tcPr>
            <w:tcW w:w="416" w:type="pct"/>
            <w:vAlign w:val="center"/>
          </w:tcPr>
          <w:p w14:paraId="63577035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 xml:space="preserve">PSH: &lt;=54% </w:t>
            </w:r>
            <w:r w:rsidRPr="00505A76">
              <w:rPr>
                <w:rFonts w:cstheme="minorHAnsi"/>
                <w:sz w:val="20"/>
                <w:szCs w:val="20"/>
              </w:rPr>
              <w:br/>
              <w:t>RRH:</w:t>
            </w:r>
          </w:p>
          <w:p w14:paraId="2C789000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&lt;= 1%   TH: &lt;=46%</w:t>
            </w:r>
          </w:p>
        </w:tc>
        <w:tc>
          <w:tcPr>
            <w:tcW w:w="369" w:type="pct"/>
            <w:vAlign w:val="center"/>
          </w:tcPr>
          <w:p w14:paraId="283920C6" w14:textId="77777777" w:rsidR="00E45E2F" w:rsidRPr="00B573E4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10</w:t>
            </w:r>
          </w:p>
        </w:tc>
      </w:tr>
      <w:tr w:rsidR="00E45E2F" w:rsidRPr="00D44336" w14:paraId="3EFC8639" w14:textId="77777777" w:rsidTr="00EE084D">
        <w:trPr>
          <w:trHeight w:val="980"/>
        </w:trPr>
        <w:tc>
          <w:tcPr>
            <w:tcW w:w="873" w:type="pct"/>
          </w:tcPr>
          <w:p w14:paraId="69BB14E9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5A76">
              <w:rPr>
                <w:rFonts w:cstheme="minorHAnsi"/>
                <w:b/>
                <w:bCs/>
                <w:sz w:val="20"/>
                <w:szCs w:val="20"/>
              </w:rPr>
              <w:t xml:space="preserve">Percentage of adult leavers at exit who gained, </w:t>
            </w:r>
            <w:proofErr w:type="gramStart"/>
            <w:r w:rsidRPr="00505A76">
              <w:rPr>
                <w:rFonts w:cstheme="minorHAnsi"/>
                <w:b/>
                <w:bCs/>
                <w:sz w:val="20"/>
                <w:szCs w:val="20"/>
              </w:rPr>
              <w:t>maintained</w:t>
            </w:r>
            <w:proofErr w:type="gramEnd"/>
            <w:r w:rsidRPr="00505A76">
              <w:rPr>
                <w:rFonts w:cstheme="minorHAnsi"/>
                <w:b/>
                <w:bCs/>
                <w:sz w:val="20"/>
                <w:szCs w:val="20"/>
              </w:rPr>
              <w:t xml:space="preserve"> or increased non-employment cash income</w:t>
            </w:r>
          </w:p>
        </w:tc>
        <w:tc>
          <w:tcPr>
            <w:tcW w:w="2003" w:type="pct"/>
            <w:gridSpan w:val="3"/>
          </w:tcPr>
          <w:p w14:paraId="491E1C44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 xml:space="preserve">Improving a household's access to financial resources is crucial to reducing vulnerability to homelessness.  Increase in income is measured through the NOFA &amp; System Performance Measures. </w:t>
            </w:r>
            <w:r w:rsidRPr="00505A76">
              <w:rPr>
                <w:rFonts w:cstheme="minorHAnsi"/>
                <w:sz w:val="20"/>
                <w:szCs w:val="20"/>
              </w:rPr>
              <w:br/>
              <w:t>APR Q19a2</w:t>
            </w:r>
          </w:p>
        </w:tc>
        <w:tc>
          <w:tcPr>
            <w:tcW w:w="458" w:type="pct"/>
            <w:vAlign w:val="center"/>
          </w:tcPr>
          <w:p w14:paraId="232F2C94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NA</w:t>
            </w:r>
          </w:p>
        </w:tc>
        <w:tc>
          <w:tcPr>
            <w:tcW w:w="459" w:type="pct"/>
            <w:vAlign w:val="center"/>
          </w:tcPr>
          <w:p w14:paraId="63CDF55E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 xml:space="preserve">PSH: &gt;=58% </w:t>
            </w:r>
            <w:r w:rsidRPr="00505A76">
              <w:rPr>
                <w:rFonts w:cstheme="minorHAnsi"/>
                <w:sz w:val="20"/>
                <w:szCs w:val="20"/>
              </w:rPr>
              <w:br/>
              <w:t>RRH:</w:t>
            </w:r>
          </w:p>
          <w:p w14:paraId="6F4AFB8D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&gt;= 51%   TH: &gt;=56%</w:t>
            </w:r>
          </w:p>
        </w:tc>
        <w:tc>
          <w:tcPr>
            <w:tcW w:w="422" w:type="pct"/>
            <w:vAlign w:val="center"/>
          </w:tcPr>
          <w:p w14:paraId="2AA13959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PSH:</w:t>
            </w:r>
          </w:p>
          <w:p w14:paraId="0621DF2E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52-57%</w:t>
            </w:r>
            <w:r w:rsidRPr="00505A76">
              <w:rPr>
                <w:rFonts w:cstheme="minorHAnsi"/>
                <w:sz w:val="20"/>
                <w:szCs w:val="20"/>
              </w:rPr>
              <w:br/>
              <w:t>RRH: 45-50%        TH:</w:t>
            </w:r>
          </w:p>
          <w:p w14:paraId="5C7BA500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50-55%</w:t>
            </w:r>
          </w:p>
        </w:tc>
        <w:tc>
          <w:tcPr>
            <w:tcW w:w="416" w:type="pct"/>
            <w:vAlign w:val="center"/>
          </w:tcPr>
          <w:p w14:paraId="0E75E12C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 xml:space="preserve">PSH: &lt;=51% </w:t>
            </w:r>
            <w:r w:rsidRPr="00505A76">
              <w:rPr>
                <w:rFonts w:cstheme="minorHAnsi"/>
                <w:sz w:val="20"/>
                <w:szCs w:val="20"/>
              </w:rPr>
              <w:br/>
              <w:t>RRH:</w:t>
            </w:r>
          </w:p>
          <w:p w14:paraId="5B4C053D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&lt;= 44%   TH: &lt;=49%</w:t>
            </w:r>
          </w:p>
        </w:tc>
        <w:tc>
          <w:tcPr>
            <w:tcW w:w="369" w:type="pct"/>
            <w:vAlign w:val="center"/>
          </w:tcPr>
          <w:p w14:paraId="0E71CE1A" w14:textId="77777777" w:rsidR="00E45E2F" w:rsidRPr="00B573E4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NA</w:t>
            </w:r>
          </w:p>
        </w:tc>
      </w:tr>
      <w:tr w:rsidR="00E45E2F" w:rsidRPr="00D44336" w14:paraId="4BEBA957" w14:textId="77777777" w:rsidTr="00EE084D">
        <w:trPr>
          <w:trHeight w:val="827"/>
        </w:trPr>
        <w:tc>
          <w:tcPr>
            <w:tcW w:w="873" w:type="pct"/>
            <w:hideMark/>
          </w:tcPr>
          <w:p w14:paraId="78B61D2F" w14:textId="77777777" w:rsidR="00E45E2F" w:rsidRPr="00505A76" w:rsidRDefault="00E45E2F" w:rsidP="00EE084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5A76">
              <w:rPr>
                <w:rFonts w:cstheme="minorHAnsi"/>
                <w:b/>
                <w:bCs/>
                <w:sz w:val="20"/>
                <w:szCs w:val="20"/>
              </w:rPr>
              <w:t>Returns to Homelessness</w:t>
            </w:r>
          </w:p>
        </w:tc>
        <w:tc>
          <w:tcPr>
            <w:tcW w:w="2003" w:type="pct"/>
            <w:gridSpan w:val="3"/>
            <w:hideMark/>
          </w:tcPr>
          <w:p w14:paraId="7D8A842A" w14:textId="77777777" w:rsidR="00E45E2F" w:rsidRPr="00505A76" w:rsidRDefault="00E45E2F" w:rsidP="00EE084D">
            <w:pPr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Reducing returns to homelessness is one of the most important measures of program success and is HUD System Performance Measure 2a.</w:t>
            </w:r>
          </w:p>
        </w:tc>
        <w:tc>
          <w:tcPr>
            <w:tcW w:w="458" w:type="pct"/>
            <w:vAlign w:val="center"/>
          </w:tcPr>
          <w:p w14:paraId="45FD3545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77A7">
              <w:rPr>
                <w:rFonts w:cstheme="minorHAnsi"/>
                <w:noProof/>
                <w:sz w:val="20"/>
                <w:szCs w:val="20"/>
              </w:rPr>
              <w:t>0%</w:t>
            </w:r>
          </w:p>
        </w:tc>
        <w:tc>
          <w:tcPr>
            <w:tcW w:w="459" w:type="pct"/>
            <w:vAlign w:val="center"/>
            <w:hideMark/>
          </w:tcPr>
          <w:p w14:paraId="1DF17534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&lt;= 5%</w:t>
            </w:r>
          </w:p>
        </w:tc>
        <w:tc>
          <w:tcPr>
            <w:tcW w:w="422" w:type="pct"/>
            <w:vAlign w:val="center"/>
            <w:hideMark/>
          </w:tcPr>
          <w:p w14:paraId="532A1D43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6% - 15%</w:t>
            </w:r>
          </w:p>
        </w:tc>
        <w:tc>
          <w:tcPr>
            <w:tcW w:w="416" w:type="pct"/>
            <w:vAlign w:val="center"/>
            <w:hideMark/>
          </w:tcPr>
          <w:p w14:paraId="11B17739" w14:textId="77777777" w:rsidR="00E45E2F" w:rsidRPr="00505A76" w:rsidRDefault="00E45E2F" w:rsidP="00EE08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5A76">
              <w:rPr>
                <w:rFonts w:cstheme="minorHAnsi"/>
                <w:sz w:val="20"/>
                <w:szCs w:val="20"/>
              </w:rPr>
              <w:t>&gt;= 16%</w:t>
            </w:r>
          </w:p>
        </w:tc>
        <w:tc>
          <w:tcPr>
            <w:tcW w:w="369" w:type="pct"/>
            <w:vAlign w:val="center"/>
          </w:tcPr>
          <w:p w14:paraId="60377E0D" w14:textId="77777777" w:rsidR="00E45E2F" w:rsidRPr="00B573E4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10</w:t>
            </w:r>
          </w:p>
        </w:tc>
      </w:tr>
    </w:tbl>
    <w:p w14:paraId="2ACC48AC" w14:textId="77777777" w:rsidR="00E45E2F" w:rsidRDefault="00E45E2F" w:rsidP="00E45E2F"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83"/>
        <w:gridCol w:w="4411"/>
        <w:gridCol w:w="900"/>
        <w:gridCol w:w="991"/>
        <w:gridCol w:w="911"/>
        <w:gridCol w:w="898"/>
        <w:gridCol w:w="796"/>
      </w:tblGrid>
      <w:tr w:rsidR="00E45E2F" w:rsidRPr="00D44336" w14:paraId="5396D60E" w14:textId="77777777" w:rsidTr="00EE084D">
        <w:trPr>
          <w:trHeight w:val="1110"/>
        </w:trPr>
        <w:tc>
          <w:tcPr>
            <w:tcW w:w="5000" w:type="pct"/>
            <w:gridSpan w:val="7"/>
            <w:shd w:val="clear" w:color="auto" w:fill="E7E6E6" w:themeFill="background2"/>
            <w:vAlign w:val="center"/>
            <w:hideMark/>
          </w:tcPr>
          <w:p w14:paraId="7A0CAEB2" w14:textId="77777777" w:rsidR="00E45E2F" w:rsidRPr="00D44336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D44336">
              <w:rPr>
                <w:b/>
                <w:bCs/>
                <w:sz w:val="20"/>
                <w:szCs w:val="20"/>
              </w:rPr>
              <w:lastRenderedPageBreak/>
              <w:t>HMIS Data Quality 20%</w:t>
            </w:r>
            <w:r w:rsidRPr="00D44336">
              <w:rPr>
                <w:b/>
                <w:bCs/>
                <w:sz w:val="20"/>
                <w:szCs w:val="20"/>
              </w:rPr>
              <w:br/>
              <w:t>HMIS participation and data quality are priorities for MD-514 &amp; HUD. Accurate, complete &amp; timely data is crucial to determine how projects are contributing to ending homelessness.  High quality data is key to understanding what projects are doing and how the CoC &amp; HUD can make informed decisions about the project.</w:t>
            </w:r>
          </w:p>
        </w:tc>
      </w:tr>
      <w:tr w:rsidR="00E45E2F" w:rsidRPr="00D44336" w14:paraId="4A7B42B0" w14:textId="77777777" w:rsidTr="00EE084D">
        <w:trPr>
          <w:trHeight w:val="791"/>
        </w:trPr>
        <w:tc>
          <w:tcPr>
            <w:tcW w:w="873" w:type="pct"/>
            <w:hideMark/>
          </w:tcPr>
          <w:p w14:paraId="5C9EA66F" w14:textId="77777777" w:rsidR="00E45E2F" w:rsidRPr="00D44336" w:rsidRDefault="00E45E2F" w:rsidP="00EE084D">
            <w:pPr>
              <w:rPr>
                <w:b/>
                <w:bCs/>
                <w:sz w:val="20"/>
                <w:szCs w:val="20"/>
              </w:rPr>
            </w:pPr>
            <w:r w:rsidRPr="00D44336">
              <w:rPr>
                <w:b/>
                <w:bCs/>
                <w:sz w:val="20"/>
                <w:szCs w:val="20"/>
              </w:rPr>
              <w:t>Personal Identifying Information Error Rate</w:t>
            </w:r>
          </w:p>
        </w:tc>
        <w:tc>
          <w:tcPr>
            <w:tcW w:w="2044" w:type="pct"/>
            <w:vMerge w:val="restart"/>
            <w:vAlign w:val="center"/>
            <w:hideMark/>
          </w:tcPr>
          <w:p w14:paraId="4D63D7E0" w14:textId="77777777" w:rsidR="00E45E2F" w:rsidRPr="00D44336" w:rsidRDefault="00E45E2F" w:rsidP="00EE084D">
            <w:pPr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 xml:space="preserve">To achieve accurate data collection and to satisfy HUD HMIS data requirements, projects must ensure that data </w:t>
            </w:r>
            <w:proofErr w:type="gramStart"/>
            <w:r w:rsidRPr="00D44336">
              <w:rPr>
                <w:sz w:val="20"/>
                <w:szCs w:val="20"/>
              </w:rPr>
              <w:t>entered into</w:t>
            </w:r>
            <w:proofErr w:type="gramEnd"/>
            <w:r w:rsidRPr="00D44336">
              <w:rPr>
                <w:sz w:val="20"/>
                <w:szCs w:val="20"/>
              </w:rPr>
              <w:t xml:space="preserve"> the local HMIS system is complete.  </w:t>
            </w:r>
            <w:r w:rsidRPr="00D44336">
              <w:rPr>
                <w:sz w:val="20"/>
                <w:szCs w:val="20"/>
              </w:rPr>
              <w:br/>
              <w:t>APR Q 6a, b, c</w:t>
            </w:r>
            <w:r>
              <w:rPr>
                <w:sz w:val="20"/>
                <w:szCs w:val="20"/>
              </w:rPr>
              <w:t>, d</w:t>
            </w:r>
          </w:p>
        </w:tc>
        <w:tc>
          <w:tcPr>
            <w:tcW w:w="417" w:type="pct"/>
            <w:vAlign w:val="center"/>
          </w:tcPr>
          <w:p w14:paraId="0A5D8744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FC77A7">
              <w:rPr>
                <w:noProof/>
                <w:sz w:val="20"/>
                <w:szCs w:val="20"/>
              </w:rPr>
              <w:t>0%</w:t>
            </w:r>
          </w:p>
        </w:tc>
        <w:tc>
          <w:tcPr>
            <w:tcW w:w="459" w:type="pct"/>
            <w:vAlign w:val="center"/>
            <w:hideMark/>
          </w:tcPr>
          <w:p w14:paraId="411AFBD8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0% - 1%</w:t>
            </w:r>
          </w:p>
        </w:tc>
        <w:tc>
          <w:tcPr>
            <w:tcW w:w="422" w:type="pct"/>
            <w:vAlign w:val="center"/>
            <w:hideMark/>
          </w:tcPr>
          <w:p w14:paraId="433C5387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2% - 5%</w:t>
            </w:r>
          </w:p>
        </w:tc>
        <w:tc>
          <w:tcPr>
            <w:tcW w:w="416" w:type="pct"/>
            <w:vAlign w:val="center"/>
            <w:hideMark/>
          </w:tcPr>
          <w:p w14:paraId="7C5D3582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&gt;= 6%</w:t>
            </w:r>
          </w:p>
        </w:tc>
        <w:tc>
          <w:tcPr>
            <w:tcW w:w="369" w:type="pct"/>
            <w:vAlign w:val="center"/>
          </w:tcPr>
          <w:p w14:paraId="1EDAC9C5" w14:textId="77777777" w:rsidR="00E45E2F" w:rsidRPr="00D44336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10</w:t>
            </w:r>
          </w:p>
        </w:tc>
      </w:tr>
      <w:tr w:rsidR="00E45E2F" w:rsidRPr="00D44336" w14:paraId="45E5659B" w14:textId="77777777" w:rsidTr="00EE084D">
        <w:trPr>
          <w:trHeight w:val="620"/>
        </w:trPr>
        <w:tc>
          <w:tcPr>
            <w:tcW w:w="873" w:type="pct"/>
            <w:hideMark/>
          </w:tcPr>
          <w:p w14:paraId="75BA35A6" w14:textId="77777777" w:rsidR="00E45E2F" w:rsidRPr="00D44336" w:rsidRDefault="00E45E2F" w:rsidP="00EE084D">
            <w:pPr>
              <w:rPr>
                <w:b/>
                <w:bCs/>
                <w:sz w:val="20"/>
                <w:szCs w:val="20"/>
              </w:rPr>
            </w:pPr>
            <w:r w:rsidRPr="00D44336">
              <w:rPr>
                <w:b/>
                <w:bCs/>
                <w:sz w:val="20"/>
                <w:szCs w:val="20"/>
              </w:rPr>
              <w:t>Universal Data Elements Error Rate</w:t>
            </w:r>
          </w:p>
        </w:tc>
        <w:tc>
          <w:tcPr>
            <w:tcW w:w="2044" w:type="pct"/>
            <w:vMerge/>
            <w:hideMark/>
          </w:tcPr>
          <w:p w14:paraId="03A907BC" w14:textId="77777777" w:rsidR="00E45E2F" w:rsidRPr="00D44336" w:rsidRDefault="00E45E2F" w:rsidP="00EE084D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69A7677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FC77A7">
              <w:rPr>
                <w:noProof/>
                <w:sz w:val="20"/>
                <w:szCs w:val="20"/>
              </w:rPr>
              <w:t>0%</w:t>
            </w:r>
          </w:p>
        </w:tc>
        <w:tc>
          <w:tcPr>
            <w:tcW w:w="459" w:type="pct"/>
            <w:vAlign w:val="center"/>
            <w:hideMark/>
          </w:tcPr>
          <w:p w14:paraId="6EBF6B6D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0% - 1%</w:t>
            </w:r>
          </w:p>
        </w:tc>
        <w:tc>
          <w:tcPr>
            <w:tcW w:w="422" w:type="pct"/>
            <w:vAlign w:val="center"/>
            <w:hideMark/>
          </w:tcPr>
          <w:p w14:paraId="40891747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2% - 5%</w:t>
            </w:r>
          </w:p>
        </w:tc>
        <w:tc>
          <w:tcPr>
            <w:tcW w:w="416" w:type="pct"/>
            <w:vAlign w:val="center"/>
            <w:hideMark/>
          </w:tcPr>
          <w:p w14:paraId="664EE12C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&gt;= 6%</w:t>
            </w:r>
          </w:p>
        </w:tc>
        <w:tc>
          <w:tcPr>
            <w:tcW w:w="369" w:type="pct"/>
            <w:vAlign w:val="center"/>
          </w:tcPr>
          <w:p w14:paraId="7B2141C7" w14:textId="77777777" w:rsidR="00E45E2F" w:rsidRPr="00D44336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10</w:t>
            </w:r>
          </w:p>
        </w:tc>
      </w:tr>
      <w:tr w:rsidR="00E45E2F" w:rsidRPr="00D44336" w14:paraId="58B93AE7" w14:textId="77777777" w:rsidTr="00EE084D">
        <w:trPr>
          <w:trHeight w:val="809"/>
        </w:trPr>
        <w:tc>
          <w:tcPr>
            <w:tcW w:w="873" w:type="pct"/>
            <w:hideMark/>
          </w:tcPr>
          <w:p w14:paraId="0C77BDF5" w14:textId="77777777" w:rsidR="00E45E2F" w:rsidRPr="00D44336" w:rsidRDefault="00E45E2F" w:rsidP="00EE084D">
            <w:pPr>
              <w:rPr>
                <w:b/>
                <w:bCs/>
                <w:sz w:val="20"/>
                <w:szCs w:val="20"/>
              </w:rPr>
            </w:pPr>
            <w:r w:rsidRPr="00D44336">
              <w:rPr>
                <w:b/>
                <w:bCs/>
                <w:sz w:val="20"/>
                <w:szCs w:val="20"/>
              </w:rPr>
              <w:t>Income and Housing Data Quality</w:t>
            </w:r>
          </w:p>
        </w:tc>
        <w:tc>
          <w:tcPr>
            <w:tcW w:w="2044" w:type="pct"/>
            <w:vMerge/>
            <w:hideMark/>
          </w:tcPr>
          <w:p w14:paraId="68BF20E4" w14:textId="77777777" w:rsidR="00E45E2F" w:rsidRPr="00D44336" w:rsidRDefault="00E45E2F" w:rsidP="00EE084D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75DB036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FC77A7">
              <w:rPr>
                <w:noProof/>
                <w:sz w:val="20"/>
                <w:szCs w:val="20"/>
              </w:rPr>
              <w:t>0%</w:t>
            </w:r>
          </w:p>
        </w:tc>
        <w:tc>
          <w:tcPr>
            <w:tcW w:w="459" w:type="pct"/>
            <w:vAlign w:val="center"/>
            <w:hideMark/>
          </w:tcPr>
          <w:p w14:paraId="303DB1E1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0% - 1%</w:t>
            </w:r>
          </w:p>
        </w:tc>
        <w:tc>
          <w:tcPr>
            <w:tcW w:w="422" w:type="pct"/>
            <w:vAlign w:val="center"/>
            <w:hideMark/>
          </w:tcPr>
          <w:p w14:paraId="49DDC94C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2% - 5%</w:t>
            </w:r>
          </w:p>
        </w:tc>
        <w:tc>
          <w:tcPr>
            <w:tcW w:w="416" w:type="pct"/>
            <w:vAlign w:val="center"/>
            <w:hideMark/>
          </w:tcPr>
          <w:p w14:paraId="5C804A2A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&gt;= 6%</w:t>
            </w:r>
          </w:p>
        </w:tc>
        <w:tc>
          <w:tcPr>
            <w:tcW w:w="369" w:type="pct"/>
            <w:vAlign w:val="center"/>
          </w:tcPr>
          <w:p w14:paraId="40AA1A21" w14:textId="77777777" w:rsidR="00E45E2F" w:rsidRPr="00D44336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10</w:t>
            </w:r>
          </w:p>
        </w:tc>
      </w:tr>
      <w:tr w:rsidR="00E45E2F" w:rsidRPr="00D44336" w14:paraId="7B4284A2" w14:textId="77777777" w:rsidTr="00EE084D">
        <w:trPr>
          <w:trHeight w:val="800"/>
        </w:trPr>
        <w:tc>
          <w:tcPr>
            <w:tcW w:w="873" w:type="pct"/>
          </w:tcPr>
          <w:p w14:paraId="5515A4BB" w14:textId="77777777" w:rsidR="00E45E2F" w:rsidRPr="009C05E9" w:rsidRDefault="00E45E2F" w:rsidP="00EE08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Chronic Homelessness Data Elements</w:t>
            </w:r>
          </w:p>
        </w:tc>
        <w:tc>
          <w:tcPr>
            <w:tcW w:w="2044" w:type="pct"/>
            <w:vMerge/>
          </w:tcPr>
          <w:p w14:paraId="3A5D7A97" w14:textId="77777777" w:rsidR="00E45E2F" w:rsidRPr="00D44336" w:rsidRDefault="00E45E2F" w:rsidP="00EE084D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F34D8D6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FC77A7">
              <w:rPr>
                <w:noProof/>
                <w:sz w:val="20"/>
                <w:szCs w:val="20"/>
              </w:rPr>
              <w:t>0%</w:t>
            </w:r>
          </w:p>
        </w:tc>
        <w:tc>
          <w:tcPr>
            <w:tcW w:w="459" w:type="pct"/>
            <w:vAlign w:val="center"/>
          </w:tcPr>
          <w:p w14:paraId="196F4563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 - 1%</w:t>
            </w:r>
          </w:p>
        </w:tc>
        <w:tc>
          <w:tcPr>
            <w:tcW w:w="422" w:type="pct"/>
            <w:vAlign w:val="center"/>
          </w:tcPr>
          <w:p w14:paraId="5CC5B0EB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2% - 5%</w:t>
            </w:r>
          </w:p>
        </w:tc>
        <w:tc>
          <w:tcPr>
            <w:tcW w:w="416" w:type="pct"/>
            <w:vAlign w:val="center"/>
          </w:tcPr>
          <w:p w14:paraId="27210BED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&gt;= 6%</w:t>
            </w:r>
          </w:p>
        </w:tc>
        <w:tc>
          <w:tcPr>
            <w:tcW w:w="369" w:type="pct"/>
            <w:vAlign w:val="center"/>
          </w:tcPr>
          <w:p w14:paraId="39D353CC" w14:textId="77777777" w:rsidR="00E45E2F" w:rsidRPr="00D44336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10</w:t>
            </w:r>
          </w:p>
        </w:tc>
      </w:tr>
      <w:tr w:rsidR="00E45E2F" w:rsidRPr="00D44336" w14:paraId="702963F6" w14:textId="77777777" w:rsidTr="00EE084D">
        <w:trPr>
          <w:trHeight w:val="1230"/>
        </w:trPr>
        <w:tc>
          <w:tcPr>
            <w:tcW w:w="873" w:type="pct"/>
          </w:tcPr>
          <w:p w14:paraId="41E73EA7" w14:textId="77777777" w:rsidR="00E45E2F" w:rsidRPr="00D44336" w:rsidRDefault="00E45E2F" w:rsidP="00EE084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Domestic Violence Provider: Comparable Database</w:t>
            </w:r>
          </w:p>
        </w:tc>
        <w:tc>
          <w:tcPr>
            <w:tcW w:w="2044" w:type="pct"/>
          </w:tcPr>
          <w:p w14:paraId="5F5B53A0" w14:textId="77777777" w:rsidR="00E45E2F" w:rsidRPr="00D44336" w:rsidRDefault="00E45E2F" w:rsidP="00EE084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Victim Services Providers receiving CoC &amp; ESG funds are required to collect client-level data but are prohibited from entering data into HMIS. VSPs must enter data into a comparable database that complies with all HMIS requirements.</w:t>
            </w:r>
          </w:p>
        </w:tc>
        <w:tc>
          <w:tcPr>
            <w:tcW w:w="417" w:type="pct"/>
            <w:vAlign w:val="center"/>
          </w:tcPr>
          <w:p w14:paraId="4DA3FB7D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FC77A7">
              <w:rPr>
                <w:noProof/>
                <w:sz w:val="20"/>
                <w:szCs w:val="20"/>
              </w:rPr>
              <w:t>NA</w:t>
            </w:r>
          </w:p>
        </w:tc>
        <w:tc>
          <w:tcPr>
            <w:tcW w:w="459" w:type="pct"/>
            <w:vAlign w:val="center"/>
          </w:tcPr>
          <w:p w14:paraId="26F3C680" w14:textId="77777777" w:rsidR="00E45E2F" w:rsidRPr="00411E01" w:rsidRDefault="00E45E2F" w:rsidP="00EE08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 / Plan on Track</w:t>
            </w:r>
          </w:p>
        </w:tc>
        <w:tc>
          <w:tcPr>
            <w:tcW w:w="422" w:type="pct"/>
            <w:vAlign w:val="center"/>
          </w:tcPr>
          <w:p w14:paraId="7112D90A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16" w:type="pct"/>
            <w:vAlign w:val="center"/>
          </w:tcPr>
          <w:p w14:paraId="7B1D4BD7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69" w:type="pct"/>
            <w:vAlign w:val="center"/>
          </w:tcPr>
          <w:p w14:paraId="2DF37702" w14:textId="77777777" w:rsidR="00E45E2F" w:rsidRPr="00D44336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NA</w:t>
            </w:r>
          </w:p>
        </w:tc>
      </w:tr>
    </w:tbl>
    <w:p w14:paraId="7EECC535" w14:textId="77777777" w:rsidR="00E45E2F" w:rsidRDefault="00E45E2F" w:rsidP="00E45E2F"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84"/>
        <w:gridCol w:w="1709"/>
        <w:gridCol w:w="1713"/>
        <w:gridCol w:w="988"/>
        <w:gridCol w:w="900"/>
        <w:gridCol w:w="991"/>
        <w:gridCol w:w="911"/>
        <w:gridCol w:w="898"/>
        <w:gridCol w:w="796"/>
      </w:tblGrid>
      <w:tr w:rsidR="00E45E2F" w:rsidRPr="00D44336" w14:paraId="7B4831BC" w14:textId="77777777" w:rsidTr="00EE084D">
        <w:trPr>
          <w:trHeight w:val="600"/>
        </w:trPr>
        <w:tc>
          <w:tcPr>
            <w:tcW w:w="5000" w:type="pct"/>
            <w:gridSpan w:val="9"/>
            <w:shd w:val="clear" w:color="auto" w:fill="E7E6E6" w:themeFill="background2"/>
            <w:vAlign w:val="center"/>
            <w:hideMark/>
          </w:tcPr>
          <w:p w14:paraId="5C56715F" w14:textId="77777777" w:rsidR="00E45E2F" w:rsidRPr="00D44336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D44336">
              <w:rPr>
                <w:b/>
                <w:bCs/>
                <w:sz w:val="20"/>
                <w:szCs w:val="20"/>
              </w:rPr>
              <w:lastRenderedPageBreak/>
              <w:t>Grant Management &amp; Financials 10%</w:t>
            </w:r>
            <w:r w:rsidRPr="00D44336">
              <w:rPr>
                <w:b/>
                <w:bCs/>
                <w:sz w:val="20"/>
                <w:szCs w:val="20"/>
              </w:rPr>
              <w:br/>
              <w:t>Projects must demonstrate understanding of compliance with federal &amp; local regulations of project operations.</w:t>
            </w:r>
          </w:p>
        </w:tc>
      </w:tr>
      <w:tr w:rsidR="00E45E2F" w:rsidRPr="00D44336" w14:paraId="02DF5362" w14:textId="77777777" w:rsidTr="00EE084D">
        <w:trPr>
          <w:trHeight w:val="782"/>
        </w:trPr>
        <w:tc>
          <w:tcPr>
            <w:tcW w:w="873" w:type="pct"/>
            <w:vMerge w:val="restart"/>
            <w:hideMark/>
          </w:tcPr>
          <w:p w14:paraId="1BA8EC8A" w14:textId="77777777" w:rsidR="00E45E2F" w:rsidRPr="00D44336" w:rsidRDefault="00E45E2F" w:rsidP="00EE084D">
            <w:pPr>
              <w:rPr>
                <w:b/>
                <w:bCs/>
                <w:sz w:val="20"/>
                <w:szCs w:val="20"/>
              </w:rPr>
            </w:pPr>
            <w:r w:rsidRPr="00D44336">
              <w:rPr>
                <w:b/>
                <w:bCs/>
                <w:sz w:val="20"/>
                <w:szCs w:val="20"/>
              </w:rPr>
              <w:t>Cost Efficiency</w:t>
            </w:r>
          </w:p>
        </w:tc>
        <w:tc>
          <w:tcPr>
            <w:tcW w:w="792" w:type="pct"/>
            <w:vMerge w:val="restart"/>
            <w:hideMark/>
          </w:tcPr>
          <w:p w14:paraId="3A872BB2" w14:textId="77777777" w:rsidR="00E45E2F" w:rsidRPr="00D44336" w:rsidRDefault="00E45E2F" w:rsidP="00EE084D">
            <w:pPr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It is important to HUD that programs demonstrate cost efficiency - the annual cost to retain or move someone into permanent housing.</w:t>
            </w:r>
            <w:r w:rsidRPr="00D44336">
              <w:rPr>
                <w:sz w:val="20"/>
                <w:szCs w:val="20"/>
              </w:rPr>
              <w:br/>
              <w:t>Sage APR Data</w:t>
            </w:r>
          </w:p>
        </w:tc>
        <w:tc>
          <w:tcPr>
            <w:tcW w:w="794" w:type="pct"/>
            <w:hideMark/>
          </w:tcPr>
          <w:p w14:paraId="6EA42307" w14:textId="77777777" w:rsidR="00E45E2F" w:rsidRPr="00D44336" w:rsidRDefault="00E45E2F" w:rsidP="00EE084D">
            <w:pPr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FY</w:t>
            </w:r>
            <w:r>
              <w:rPr>
                <w:sz w:val="20"/>
                <w:szCs w:val="20"/>
              </w:rPr>
              <w:t>20</w:t>
            </w:r>
            <w:r w:rsidRPr="00D44336">
              <w:rPr>
                <w:sz w:val="20"/>
                <w:szCs w:val="20"/>
              </w:rPr>
              <w:t xml:space="preserve"> Total CoC Budget Plus 25% Required Match</w:t>
            </w:r>
          </w:p>
        </w:tc>
        <w:tc>
          <w:tcPr>
            <w:tcW w:w="458" w:type="pct"/>
            <w:vAlign w:val="center"/>
          </w:tcPr>
          <w:p w14:paraId="29E0BBCE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FC77A7">
              <w:rPr>
                <w:noProof/>
                <w:sz w:val="20"/>
                <w:szCs w:val="20"/>
              </w:rPr>
              <w:t>$17,960</w:t>
            </w:r>
          </w:p>
        </w:tc>
        <w:tc>
          <w:tcPr>
            <w:tcW w:w="417" w:type="pct"/>
            <w:vMerge w:val="restart"/>
            <w:vAlign w:val="center"/>
          </w:tcPr>
          <w:p w14:paraId="2D9195D8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FC77A7">
              <w:rPr>
                <w:noProof/>
                <w:sz w:val="20"/>
                <w:szCs w:val="20"/>
              </w:rPr>
              <w:t>$8,980</w:t>
            </w:r>
          </w:p>
        </w:tc>
        <w:tc>
          <w:tcPr>
            <w:tcW w:w="459" w:type="pct"/>
            <w:vMerge w:val="restart"/>
            <w:vAlign w:val="center"/>
            <w:hideMark/>
          </w:tcPr>
          <w:p w14:paraId="452E484D" w14:textId="77777777" w:rsidR="00E45E2F" w:rsidRPr="003B03D3" w:rsidRDefault="00E45E2F" w:rsidP="00EE084D">
            <w:pPr>
              <w:jc w:val="center"/>
              <w:rPr>
                <w:sz w:val="18"/>
                <w:szCs w:val="18"/>
              </w:rPr>
            </w:pPr>
            <w:r w:rsidRPr="003B03D3">
              <w:rPr>
                <w:sz w:val="18"/>
                <w:szCs w:val="18"/>
              </w:rPr>
              <w:t>PSH &lt;$8,999</w:t>
            </w:r>
            <w:r w:rsidRPr="003B03D3">
              <w:rPr>
                <w:sz w:val="18"/>
                <w:szCs w:val="18"/>
              </w:rPr>
              <w:br/>
              <w:t>RRH &lt;$2,999   TH &lt;$9,999</w:t>
            </w:r>
          </w:p>
        </w:tc>
        <w:tc>
          <w:tcPr>
            <w:tcW w:w="422" w:type="pct"/>
            <w:vMerge w:val="restart"/>
            <w:vAlign w:val="center"/>
            <w:hideMark/>
          </w:tcPr>
          <w:p w14:paraId="1B987ABB" w14:textId="77777777" w:rsidR="00E45E2F" w:rsidRPr="003B03D3" w:rsidRDefault="00E45E2F" w:rsidP="00EE084D">
            <w:pPr>
              <w:jc w:val="center"/>
              <w:rPr>
                <w:sz w:val="18"/>
                <w:szCs w:val="18"/>
              </w:rPr>
            </w:pPr>
            <w:r w:rsidRPr="003B03D3">
              <w:rPr>
                <w:sz w:val="18"/>
                <w:szCs w:val="18"/>
              </w:rPr>
              <w:t>PSH $9,000 - 11,000</w:t>
            </w:r>
            <w:r w:rsidRPr="003B03D3">
              <w:rPr>
                <w:sz w:val="18"/>
                <w:szCs w:val="18"/>
              </w:rPr>
              <w:br/>
              <w:t>RRH $3,000 - 5,000   TH $10,000 - 12,000</w:t>
            </w:r>
          </w:p>
        </w:tc>
        <w:tc>
          <w:tcPr>
            <w:tcW w:w="416" w:type="pct"/>
            <w:vMerge w:val="restart"/>
            <w:vAlign w:val="center"/>
            <w:hideMark/>
          </w:tcPr>
          <w:p w14:paraId="43A919B9" w14:textId="77777777" w:rsidR="00E45E2F" w:rsidRPr="003B03D3" w:rsidRDefault="00E45E2F" w:rsidP="00EE084D">
            <w:pPr>
              <w:jc w:val="center"/>
              <w:rPr>
                <w:sz w:val="18"/>
                <w:szCs w:val="18"/>
              </w:rPr>
            </w:pPr>
            <w:r w:rsidRPr="003B03D3">
              <w:rPr>
                <w:sz w:val="18"/>
                <w:szCs w:val="18"/>
              </w:rPr>
              <w:t>PSH &gt;$11,001</w:t>
            </w:r>
            <w:r w:rsidRPr="003B03D3">
              <w:rPr>
                <w:sz w:val="18"/>
                <w:szCs w:val="18"/>
              </w:rPr>
              <w:br/>
              <w:t xml:space="preserve">RRH &gt;$5,001   </w:t>
            </w:r>
          </w:p>
          <w:p w14:paraId="494C941D" w14:textId="77777777" w:rsidR="00E45E2F" w:rsidRPr="003B03D3" w:rsidRDefault="00E45E2F" w:rsidP="00EE084D">
            <w:pPr>
              <w:jc w:val="center"/>
              <w:rPr>
                <w:sz w:val="18"/>
                <w:szCs w:val="18"/>
              </w:rPr>
            </w:pPr>
            <w:r w:rsidRPr="003B03D3">
              <w:rPr>
                <w:sz w:val="18"/>
                <w:szCs w:val="18"/>
              </w:rPr>
              <w:t>TH &gt;$12,001</w:t>
            </w:r>
          </w:p>
        </w:tc>
        <w:tc>
          <w:tcPr>
            <w:tcW w:w="369" w:type="pct"/>
            <w:vMerge w:val="restart"/>
            <w:vAlign w:val="center"/>
          </w:tcPr>
          <w:p w14:paraId="19DB086F" w14:textId="77777777" w:rsidR="00E45E2F" w:rsidRPr="00D44336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10</w:t>
            </w:r>
          </w:p>
        </w:tc>
      </w:tr>
      <w:tr w:rsidR="00E45E2F" w:rsidRPr="00D44336" w14:paraId="4C25BC14" w14:textId="77777777" w:rsidTr="00EE084D">
        <w:trPr>
          <w:trHeight w:val="1260"/>
        </w:trPr>
        <w:tc>
          <w:tcPr>
            <w:tcW w:w="873" w:type="pct"/>
            <w:vMerge/>
            <w:hideMark/>
          </w:tcPr>
          <w:p w14:paraId="4C8E8DE6" w14:textId="77777777" w:rsidR="00E45E2F" w:rsidRPr="00D44336" w:rsidRDefault="00E45E2F" w:rsidP="00EE08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vMerge/>
            <w:hideMark/>
          </w:tcPr>
          <w:p w14:paraId="13E68C59" w14:textId="77777777" w:rsidR="00E45E2F" w:rsidRPr="00D44336" w:rsidRDefault="00E45E2F" w:rsidP="00EE084D">
            <w:pPr>
              <w:rPr>
                <w:sz w:val="20"/>
                <w:szCs w:val="20"/>
              </w:rPr>
            </w:pPr>
          </w:p>
        </w:tc>
        <w:tc>
          <w:tcPr>
            <w:tcW w:w="794" w:type="pct"/>
            <w:hideMark/>
          </w:tcPr>
          <w:p w14:paraId="0EA2EA02" w14:textId="77777777" w:rsidR="00E45E2F" w:rsidRPr="00D44336" w:rsidRDefault="00E45E2F" w:rsidP="00EE084D">
            <w:pPr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Num</w:t>
            </w:r>
            <w:r>
              <w:rPr>
                <w:sz w:val="20"/>
                <w:szCs w:val="20"/>
              </w:rPr>
              <w:t>b</w:t>
            </w:r>
            <w:r w:rsidRPr="00D44336">
              <w:rPr>
                <w:sz w:val="20"/>
                <w:szCs w:val="20"/>
              </w:rPr>
              <w:t>er of participants who exited to or remained in permanent supportive housing during the reporting period</w:t>
            </w:r>
          </w:p>
        </w:tc>
        <w:tc>
          <w:tcPr>
            <w:tcW w:w="458" w:type="pct"/>
            <w:vAlign w:val="center"/>
            <w:hideMark/>
          </w:tcPr>
          <w:p w14:paraId="1AF800A2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FC77A7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417" w:type="pct"/>
            <w:vMerge/>
            <w:vAlign w:val="center"/>
            <w:hideMark/>
          </w:tcPr>
          <w:p w14:paraId="373CF947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14:paraId="3933FC00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1A57525C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22FF5C67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</w:tcPr>
          <w:p w14:paraId="3988B21C" w14:textId="77777777" w:rsidR="00E45E2F" w:rsidRPr="00D44336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E2F" w:rsidRPr="00D44336" w14:paraId="088554CA" w14:textId="77777777" w:rsidTr="00EE084D">
        <w:trPr>
          <w:trHeight w:val="638"/>
        </w:trPr>
        <w:tc>
          <w:tcPr>
            <w:tcW w:w="873" w:type="pct"/>
            <w:vMerge w:val="restart"/>
            <w:hideMark/>
          </w:tcPr>
          <w:p w14:paraId="5EAD3849" w14:textId="77777777" w:rsidR="00E45E2F" w:rsidRPr="00D44336" w:rsidRDefault="00E45E2F" w:rsidP="00EE084D">
            <w:pPr>
              <w:rPr>
                <w:b/>
                <w:bCs/>
                <w:sz w:val="20"/>
                <w:szCs w:val="20"/>
              </w:rPr>
            </w:pPr>
            <w:r w:rsidRPr="00D44336">
              <w:rPr>
                <w:b/>
                <w:bCs/>
                <w:sz w:val="20"/>
                <w:szCs w:val="20"/>
              </w:rPr>
              <w:t>Percentage of total grant funds that were recaptured in the most recent grant closeout</w:t>
            </w:r>
          </w:p>
        </w:tc>
        <w:tc>
          <w:tcPr>
            <w:tcW w:w="792" w:type="pct"/>
            <w:vMerge w:val="restart"/>
            <w:hideMark/>
          </w:tcPr>
          <w:p w14:paraId="36552D60" w14:textId="77777777" w:rsidR="00E45E2F" w:rsidRPr="00D44336" w:rsidRDefault="00E45E2F" w:rsidP="00EE084D">
            <w:pPr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It is important to HUD that programs show agency capacity to spend funds allocated in a timely manner and in full and allows for potential fund reallocation of unspent funds during the HUD CoC Competition.</w:t>
            </w:r>
            <w:r w:rsidRPr="00D44336">
              <w:rPr>
                <w:sz w:val="20"/>
                <w:szCs w:val="20"/>
              </w:rPr>
              <w:br/>
              <w:t>Sage APR Data</w:t>
            </w:r>
          </w:p>
        </w:tc>
        <w:tc>
          <w:tcPr>
            <w:tcW w:w="794" w:type="pct"/>
            <w:hideMark/>
          </w:tcPr>
          <w:p w14:paraId="7CBA8214" w14:textId="77777777" w:rsidR="00E45E2F" w:rsidRPr="00D44336" w:rsidRDefault="00E45E2F" w:rsidP="00EE084D">
            <w:pPr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Total Grant Award</w:t>
            </w:r>
          </w:p>
        </w:tc>
        <w:tc>
          <w:tcPr>
            <w:tcW w:w="458" w:type="pct"/>
            <w:vAlign w:val="center"/>
          </w:tcPr>
          <w:p w14:paraId="1A1D410A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FC77A7">
              <w:rPr>
                <w:noProof/>
                <w:sz w:val="20"/>
                <w:szCs w:val="20"/>
              </w:rPr>
              <w:t>$14,512</w:t>
            </w:r>
          </w:p>
        </w:tc>
        <w:tc>
          <w:tcPr>
            <w:tcW w:w="417" w:type="pct"/>
            <w:vMerge w:val="restart"/>
            <w:vAlign w:val="center"/>
          </w:tcPr>
          <w:p w14:paraId="6F54D533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FC77A7">
              <w:rPr>
                <w:noProof/>
                <w:sz w:val="20"/>
                <w:szCs w:val="20"/>
              </w:rPr>
              <w:t>23.66%</w:t>
            </w:r>
          </w:p>
        </w:tc>
        <w:tc>
          <w:tcPr>
            <w:tcW w:w="459" w:type="pct"/>
            <w:vMerge w:val="restart"/>
            <w:vAlign w:val="center"/>
            <w:hideMark/>
          </w:tcPr>
          <w:p w14:paraId="24840B0D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0-2%</w:t>
            </w:r>
          </w:p>
        </w:tc>
        <w:tc>
          <w:tcPr>
            <w:tcW w:w="422" w:type="pct"/>
            <w:vMerge w:val="restart"/>
            <w:vAlign w:val="center"/>
            <w:hideMark/>
          </w:tcPr>
          <w:p w14:paraId="78A8BF92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3-5%</w:t>
            </w:r>
          </w:p>
        </w:tc>
        <w:tc>
          <w:tcPr>
            <w:tcW w:w="416" w:type="pct"/>
            <w:vMerge w:val="restart"/>
            <w:vAlign w:val="center"/>
            <w:hideMark/>
          </w:tcPr>
          <w:p w14:paraId="7CCA39AC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&gt;= 6%</w:t>
            </w:r>
          </w:p>
        </w:tc>
        <w:tc>
          <w:tcPr>
            <w:tcW w:w="369" w:type="pct"/>
            <w:vMerge w:val="restart"/>
            <w:vAlign w:val="center"/>
            <w:hideMark/>
          </w:tcPr>
          <w:p w14:paraId="75138294" w14:textId="77777777" w:rsidR="00E45E2F" w:rsidRPr="00D44336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7A7">
              <w:rPr>
                <w:b/>
                <w:bCs/>
                <w:noProof/>
                <w:sz w:val="20"/>
                <w:szCs w:val="20"/>
              </w:rPr>
              <w:t>0</w:t>
            </w:r>
          </w:p>
        </w:tc>
      </w:tr>
      <w:tr w:rsidR="00E45E2F" w:rsidRPr="00D44336" w14:paraId="06ED7C4F" w14:textId="77777777" w:rsidTr="00EE084D">
        <w:trPr>
          <w:trHeight w:val="710"/>
        </w:trPr>
        <w:tc>
          <w:tcPr>
            <w:tcW w:w="873" w:type="pct"/>
            <w:vMerge/>
            <w:hideMark/>
          </w:tcPr>
          <w:p w14:paraId="7E1287F2" w14:textId="77777777" w:rsidR="00E45E2F" w:rsidRPr="00D44336" w:rsidRDefault="00E45E2F" w:rsidP="00EE08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vMerge/>
            <w:hideMark/>
          </w:tcPr>
          <w:p w14:paraId="27F64275" w14:textId="77777777" w:rsidR="00E45E2F" w:rsidRPr="00D44336" w:rsidRDefault="00E45E2F" w:rsidP="00EE084D">
            <w:pPr>
              <w:rPr>
                <w:sz w:val="20"/>
                <w:szCs w:val="20"/>
              </w:rPr>
            </w:pPr>
          </w:p>
        </w:tc>
        <w:tc>
          <w:tcPr>
            <w:tcW w:w="794" w:type="pct"/>
            <w:hideMark/>
          </w:tcPr>
          <w:p w14:paraId="2D603994" w14:textId="77777777" w:rsidR="00E45E2F" w:rsidRPr="00D44336" w:rsidRDefault="00E45E2F" w:rsidP="00EE084D">
            <w:pPr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Total Spent</w:t>
            </w:r>
          </w:p>
        </w:tc>
        <w:tc>
          <w:tcPr>
            <w:tcW w:w="458" w:type="pct"/>
            <w:vAlign w:val="center"/>
          </w:tcPr>
          <w:p w14:paraId="5F8DA9A5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FC77A7">
              <w:rPr>
                <w:noProof/>
                <w:sz w:val="20"/>
                <w:szCs w:val="20"/>
              </w:rPr>
              <w:t>$11,078</w:t>
            </w:r>
          </w:p>
        </w:tc>
        <w:tc>
          <w:tcPr>
            <w:tcW w:w="417" w:type="pct"/>
            <w:vMerge/>
            <w:vAlign w:val="center"/>
            <w:hideMark/>
          </w:tcPr>
          <w:p w14:paraId="58B218B3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  <w:hideMark/>
          </w:tcPr>
          <w:p w14:paraId="436A6B3C" w14:textId="77777777" w:rsidR="00E45E2F" w:rsidRPr="00D44336" w:rsidRDefault="00E45E2F" w:rsidP="00EE084D">
            <w:pPr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hideMark/>
          </w:tcPr>
          <w:p w14:paraId="64A0BF53" w14:textId="77777777" w:rsidR="00E45E2F" w:rsidRPr="00D44336" w:rsidRDefault="00E45E2F" w:rsidP="00EE084D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hideMark/>
          </w:tcPr>
          <w:p w14:paraId="05D8CDE4" w14:textId="77777777" w:rsidR="00E45E2F" w:rsidRPr="00D44336" w:rsidRDefault="00E45E2F" w:rsidP="00EE084D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hideMark/>
          </w:tcPr>
          <w:p w14:paraId="695F452B" w14:textId="77777777" w:rsidR="00E45E2F" w:rsidRPr="00D44336" w:rsidRDefault="00E45E2F" w:rsidP="00EE08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5E2F" w:rsidRPr="00D44336" w14:paraId="41C3B21E" w14:textId="77777777" w:rsidTr="00EE084D">
        <w:trPr>
          <w:trHeight w:val="980"/>
        </w:trPr>
        <w:tc>
          <w:tcPr>
            <w:tcW w:w="873" w:type="pct"/>
            <w:vMerge/>
            <w:hideMark/>
          </w:tcPr>
          <w:p w14:paraId="5FC69593" w14:textId="77777777" w:rsidR="00E45E2F" w:rsidRPr="00D44336" w:rsidRDefault="00E45E2F" w:rsidP="00EE08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vMerge/>
            <w:hideMark/>
          </w:tcPr>
          <w:p w14:paraId="60650F0D" w14:textId="77777777" w:rsidR="00E45E2F" w:rsidRPr="00D44336" w:rsidRDefault="00E45E2F" w:rsidP="00EE084D">
            <w:pPr>
              <w:rPr>
                <w:sz w:val="20"/>
                <w:szCs w:val="20"/>
              </w:rPr>
            </w:pPr>
          </w:p>
        </w:tc>
        <w:tc>
          <w:tcPr>
            <w:tcW w:w="794" w:type="pct"/>
            <w:hideMark/>
          </w:tcPr>
          <w:p w14:paraId="1FFF6015" w14:textId="77777777" w:rsidR="00E45E2F" w:rsidRDefault="00E45E2F" w:rsidP="00EE084D">
            <w:pPr>
              <w:rPr>
                <w:sz w:val="20"/>
                <w:szCs w:val="20"/>
              </w:rPr>
            </w:pPr>
            <w:r w:rsidRPr="00D44336">
              <w:rPr>
                <w:sz w:val="20"/>
                <w:szCs w:val="20"/>
              </w:rPr>
              <w:t>Unspent Amount</w:t>
            </w:r>
          </w:p>
          <w:p w14:paraId="2315D0DC" w14:textId="77777777" w:rsidR="00E45E2F" w:rsidRPr="00D44336" w:rsidRDefault="00E45E2F" w:rsidP="00EE084D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vAlign w:val="center"/>
            <w:hideMark/>
          </w:tcPr>
          <w:p w14:paraId="16FA497D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FC77A7">
              <w:rPr>
                <w:noProof/>
                <w:sz w:val="20"/>
                <w:szCs w:val="20"/>
              </w:rPr>
              <w:t>$3,434</w:t>
            </w:r>
          </w:p>
        </w:tc>
        <w:tc>
          <w:tcPr>
            <w:tcW w:w="417" w:type="pct"/>
            <w:vMerge/>
            <w:vAlign w:val="center"/>
            <w:hideMark/>
          </w:tcPr>
          <w:p w14:paraId="1AE1F16A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  <w:hideMark/>
          </w:tcPr>
          <w:p w14:paraId="68F74167" w14:textId="77777777" w:rsidR="00E45E2F" w:rsidRPr="00D44336" w:rsidRDefault="00E45E2F" w:rsidP="00EE084D">
            <w:pPr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hideMark/>
          </w:tcPr>
          <w:p w14:paraId="7094FAB6" w14:textId="77777777" w:rsidR="00E45E2F" w:rsidRPr="00D44336" w:rsidRDefault="00E45E2F" w:rsidP="00EE084D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hideMark/>
          </w:tcPr>
          <w:p w14:paraId="1E630058" w14:textId="77777777" w:rsidR="00E45E2F" w:rsidRPr="00D44336" w:rsidRDefault="00E45E2F" w:rsidP="00EE084D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hideMark/>
          </w:tcPr>
          <w:p w14:paraId="5710FCEB" w14:textId="77777777" w:rsidR="00E45E2F" w:rsidRPr="00D44336" w:rsidRDefault="00E45E2F" w:rsidP="00EE08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5E2F" w:rsidRPr="00D44336" w14:paraId="7CBE4396" w14:textId="77777777" w:rsidTr="00EE084D">
        <w:trPr>
          <w:trHeight w:val="980"/>
        </w:trPr>
        <w:tc>
          <w:tcPr>
            <w:tcW w:w="873" w:type="pct"/>
          </w:tcPr>
          <w:p w14:paraId="0B94EE36" w14:textId="77777777" w:rsidR="00E45E2F" w:rsidRPr="00D44336" w:rsidRDefault="00E45E2F" w:rsidP="00EE084D">
            <w:pPr>
              <w:rPr>
                <w:b/>
                <w:bCs/>
                <w:sz w:val="20"/>
                <w:szCs w:val="20"/>
              </w:rPr>
            </w:pPr>
            <w:r w:rsidRPr="00EA51BC">
              <w:rPr>
                <w:b/>
                <w:bCs/>
                <w:sz w:val="20"/>
                <w:szCs w:val="20"/>
              </w:rPr>
              <w:t>Prior Year Recapture Rate (Not Scored)</w:t>
            </w:r>
          </w:p>
        </w:tc>
        <w:tc>
          <w:tcPr>
            <w:tcW w:w="792" w:type="pct"/>
            <w:vMerge/>
          </w:tcPr>
          <w:p w14:paraId="6B8341C4" w14:textId="77777777" w:rsidR="00E45E2F" w:rsidRPr="00D44336" w:rsidRDefault="00E45E2F" w:rsidP="00EE084D">
            <w:pPr>
              <w:rPr>
                <w:sz w:val="20"/>
                <w:szCs w:val="20"/>
              </w:rPr>
            </w:pPr>
          </w:p>
        </w:tc>
        <w:tc>
          <w:tcPr>
            <w:tcW w:w="1252" w:type="pct"/>
            <w:gridSpan w:val="2"/>
          </w:tcPr>
          <w:p w14:paraId="257EE63B" w14:textId="77777777" w:rsidR="00E45E2F" w:rsidRPr="00D44336" w:rsidRDefault="00E45E2F" w:rsidP="00EE0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Year</w:t>
            </w:r>
            <w:r w:rsidRPr="00EA51BC">
              <w:rPr>
                <w:sz w:val="20"/>
                <w:szCs w:val="20"/>
              </w:rPr>
              <w:t xml:space="preserve"> Recapture</w:t>
            </w:r>
            <w:r>
              <w:rPr>
                <w:sz w:val="20"/>
                <w:szCs w:val="20"/>
              </w:rPr>
              <w:t xml:space="preserve"> Rate </w:t>
            </w:r>
            <w:r w:rsidRPr="000B468D">
              <w:rPr>
                <w:i/>
                <w:iCs/>
                <w:sz w:val="20"/>
                <w:szCs w:val="20"/>
              </w:rPr>
              <w:t>– For Reference Only</w:t>
            </w:r>
          </w:p>
        </w:tc>
        <w:tc>
          <w:tcPr>
            <w:tcW w:w="417" w:type="pct"/>
            <w:vAlign w:val="center"/>
          </w:tcPr>
          <w:p w14:paraId="105319D0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 w:rsidRPr="00FC77A7">
              <w:rPr>
                <w:noProof/>
                <w:sz w:val="20"/>
                <w:szCs w:val="20"/>
              </w:rPr>
              <w:t>13.66%</w:t>
            </w:r>
          </w:p>
        </w:tc>
        <w:tc>
          <w:tcPr>
            <w:tcW w:w="459" w:type="pct"/>
            <w:vAlign w:val="center"/>
          </w:tcPr>
          <w:p w14:paraId="5F11F2C3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22" w:type="pct"/>
            <w:vAlign w:val="center"/>
          </w:tcPr>
          <w:p w14:paraId="4E9B1781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16" w:type="pct"/>
            <w:vAlign w:val="center"/>
          </w:tcPr>
          <w:p w14:paraId="2EE18296" w14:textId="77777777" w:rsidR="00E45E2F" w:rsidRPr="00D44336" w:rsidRDefault="00E45E2F" w:rsidP="00EE084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69" w:type="pct"/>
            <w:vAlign w:val="center"/>
          </w:tcPr>
          <w:p w14:paraId="1C5B7C5A" w14:textId="77777777" w:rsidR="00E45E2F" w:rsidRPr="00654E63" w:rsidRDefault="00E45E2F" w:rsidP="00EE084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E63">
              <w:rPr>
                <w:rFonts w:ascii="Calibri" w:hAnsi="Calibri" w:cs="Calibri"/>
                <w:b/>
                <w:bCs/>
                <w:sz w:val="20"/>
                <w:szCs w:val="20"/>
              </w:rPr>
              <w:t>Not Scored</w:t>
            </w:r>
          </w:p>
        </w:tc>
      </w:tr>
    </w:tbl>
    <w:p w14:paraId="2A33C8DB" w14:textId="77777777" w:rsidR="00E45E2F" w:rsidRDefault="00E45E2F" w:rsidP="00E45E2F">
      <w:pPr>
        <w:rPr>
          <w:sz w:val="20"/>
          <w:szCs w:val="20"/>
        </w:rPr>
      </w:pPr>
    </w:p>
    <w:p w14:paraId="1FAD3AAC" w14:textId="77777777" w:rsidR="00E45E2F" w:rsidRDefault="00E45E2F" w:rsidP="00E45E2F">
      <w:r>
        <w:br w:type="page"/>
      </w:r>
    </w:p>
    <w:tbl>
      <w:tblPr>
        <w:tblW w:w="4838" w:type="pct"/>
        <w:tblLook w:val="04A0" w:firstRow="1" w:lastRow="0" w:firstColumn="1" w:lastColumn="0" w:noHBand="0" w:noVBand="1"/>
      </w:tblPr>
      <w:tblGrid>
        <w:gridCol w:w="10431"/>
      </w:tblGrid>
      <w:tr w:rsidR="00E45E2F" w:rsidRPr="0026539C" w14:paraId="3BD2D60B" w14:textId="77777777" w:rsidTr="00EE084D">
        <w:trPr>
          <w:trHeight w:val="9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fill="DEEAF6"/>
            <w:vAlign w:val="center"/>
            <w:hideMark/>
          </w:tcPr>
          <w:p w14:paraId="53B0AC67" w14:textId="77777777" w:rsidR="00E45E2F" w:rsidRPr="0026539C" w:rsidRDefault="00E45E2F" w:rsidP="00EE0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Pr="00265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Agency Response Section</w:t>
            </w:r>
            <w:r w:rsidRPr="002653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In the boxes below, please respond to the following questions (if applicable).                                                                                                                                                                      These responses are not scored but will be reviewed by the Performance Review Committee.</w:t>
            </w:r>
          </w:p>
        </w:tc>
      </w:tr>
      <w:tr w:rsidR="00E45E2F" w:rsidRPr="0026539C" w14:paraId="5DCDCF34" w14:textId="77777777" w:rsidTr="00301923">
        <w:trPr>
          <w:trHeight w:val="450"/>
        </w:trPr>
        <w:tc>
          <w:tcPr>
            <w:tcW w:w="50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hideMark/>
          </w:tcPr>
          <w:p w14:paraId="226A29AE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39C">
              <w:rPr>
                <w:rFonts w:ascii="Calibri" w:eastAsia="Times New Roman" w:hAnsi="Calibri" w:cs="Calibri"/>
                <w:color w:val="000000"/>
              </w:rPr>
              <w:t>1) For scored elements that received 0 or 5 points, please explain how your agency plans to improve the performance over time.</w:t>
            </w:r>
          </w:p>
        </w:tc>
      </w:tr>
      <w:tr w:rsidR="00E45E2F" w:rsidRPr="0026539C" w14:paraId="0AC15A3D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B92D34F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09200E4B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6AF9626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474395A5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DD10899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1171BA49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06D0C066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658992EF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530442F5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6F30B4A8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9D6C42C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2F566CE5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A8F87B8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060A2806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19C58DF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0AFA4870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4EAE2CD2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72C1D217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EB9A37D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40FD6E99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0A5BAD6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76BB6DBA" w14:textId="77777777" w:rsidTr="00301923">
        <w:trPr>
          <w:trHeight w:val="450"/>
        </w:trPr>
        <w:tc>
          <w:tcPr>
            <w:tcW w:w="5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14:paraId="5588A8AA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539C">
              <w:rPr>
                <w:rFonts w:ascii="Calibri" w:eastAsia="Times New Roman" w:hAnsi="Calibri" w:cs="Calibri"/>
                <w:color w:val="000000"/>
              </w:rPr>
              <w:t>2) If your grant recaptured more than 10%, please explain how you intend to spend project funds in the coming year OR if you plan to voluntarily reallocate the excess budget.</w:t>
            </w:r>
          </w:p>
        </w:tc>
      </w:tr>
      <w:tr w:rsidR="00E45E2F" w:rsidRPr="0026539C" w14:paraId="7446868A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0F6D6EF6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4CD03D0E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50A45EA8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3732C359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BC31CBF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236F4155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17CFFD4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31460B97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7E2A2122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54280BA6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7376B9B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6B00C5F4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F53C030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66F93475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7B71DA6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19CE835B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015E4D77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57D32A15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2920B95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E2F" w:rsidRPr="0026539C" w14:paraId="024706C5" w14:textId="77777777" w:rsidTr="00301923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5B024CBE" w14:textId="77777777" w:rsidR="00E45E2F" w:rsidRPr="0026539C" w:rsidRDefault="00E45E2F" w:rsidP="00EE0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9DB5CB3" w14:textId="77777777" w:rsidR="00E45E2F" w:rsidRDefault="00E45E2F" w:rsidP="00E45E2F">
      <w:pPr>
        <w:rPr>
          <w:sz w:val="20"/>
          <w:szCs w:val="20"/>
        </w:rPr>
      </w:pPr>
    </w:p>
    <w:p w14:paraId="2AF3DF67" w14:textId="77777777" w:rsidR="00A91AC7" w:rsidRDefault="00A91AC7"/>
    <w:sectPr w:rsidR="00A91AC7" w:rsidSect="009B0AF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AA01" w14:textId="77777777" w:rsidR="00FA6D59" w:rsidRDefault="00FA6D59" w:rsidP="009B0AF7">
      <w:pPr>
        <w:spacing w:after="0" w:line="240" w:lineRule="auto"/>
      </w:pPr>
      <w:r>
        <w:separator/>
      </w:r>
    </w:p>
  </w:endnote>
  <w:endnote w:type="continuationSeparator" w:id="0">
    <w:p w14:paraId="4CBDE3CF" w14:textId="77777777" w:rsidR="00FA6D59" w:rsidRDefault="00FA6D59" w:rsidP="009B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566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6B355" w14:textId="0A457C36" w:rsidR="00E45E2F" w:rsidRDefault="00E45E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10FB7" w14:textId="77777777" w:rsidR="00E45E2F" w:rsidRDefault="00E45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2A60" w14:textId="77777777" w:rsidR="00FA6D59" w:rsidRDefault="00FA6D59" w:rsidP="009B0AF7">
      <w:pPr>
        <w:spacing w:after="0" w:line="240" w:lineRule="auto"/>
      </w:pPr>
      <w:r>
        <w:separator/>
      </w:r>
    </w:p>
  </w:footnote>
  <w:footnote w:type="continuationSeparator" w:id="0">
    <w:p w14:paraId="77560638" w14:textId="77777777" w:rsidR="00FA6D59" w:rsidRDefault="00FA6D59" w:rsidP="009B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3B9E" w14:textId="25C679EB" w:rsidR="009B0AF7" w:rsidRPr="009B0AF7" w:rsidRDefault="009B0AF7">
    <w:pPr>
      <w:pStyle w:val="Header"/>
      <w:rPr>
        <w:sz w:val="20"/>
        <w:szCs w:val="20"/>
      </w:rPr>
    </w:pPr>
    <w:r w:rsidRPr="00966925">
      <w:rPr>
        <w:sz w:val="20"/>
        <w:szCs w:val="20"/>
      </w:rPr>
      <w:t>MD-514 FY2022 CoC Renewal Project Scorecar</w:t>
    </w:r>
    <w:r>
      <w:rPr>
        <w:sz w:val="20"/>
        <w:szCs w:val="20"/>
      </w:rPr>
      <w:t>d</w:t>
    </w:r>
  </w:p>
  <w:p w14:paraId="6C8F700D" w14:textId="77777777" w:rsidR="009B0AF7" w:rsidRDefault="009B0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3647707"/>
    <w:multiLevelType w:val="hybridMultilevel"/>
    <w:tmpl w:val="2326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B952C64"/>
    <w:multiLevelType w:val="hybridMultilevel"/>
    <w:tmpl w:val="7F1C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03371">
    <w:abstractNumId w:val="0"/>
  </w:num>
  <w:num w:numId="2" w16cid:durableId="131448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F7"/>
    <w:rsid w:val="001E0B0B"/>
    <w:rsid w:val="00301923"/>
    <w:rsid w:val="00606436"/>
    <w:rsid w:val="009B0AF7"/>
    <w:rsid w:val="00A3438E"/>
    <w:rsid w:val="00A91AC7"/>
    <w:rsid w:val="00E45E2F"/>
    <w:rsid w:val="00F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B727"/>
  <w15:chartTrackingRefBased/>
  <w15:docId w15:val="{921A58AD-A9B7-4F62-8B75-B021D85E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F7"/>
  </w:style>
  <w:style w:type="paragraph" w:styleId="Footer">
    <w:name w:val="footer"/>
    <w:basedOn w:val="Normal"/>
    <w:link w:val="FooterChar"/>
    <w:uiPriority w:val="99"/>
    <w:unhideWhenUsed/>
    <w:rsid w:val="009B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F7"/>
  </w:style>
  <w:style w:type="table" w:styleId="TableGrid">
    <w:name w:val="Table Grid"/>
    <w:basedOn w:val="TableNormal"/>
    <w:uiPriority w:val="39"/>
    <w:rsid w:val="00E4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E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5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Shared%20drives\Balance%20of%20State%20CoC\Funding\CoC%20NOFA\FY2022%20NOFA\Scorecard\Scorecards_Under%20Review\boscoc.dhcd@maryland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dboscoc.org/2022coccompeti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dboscoc.org/2022coccompet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Carolyn</dc:creator>
  <cp:keywords/>
  <dc:description/>
  <cp:lastModifiedBy>Curry, Carolyn</cp:lastModifiedBy>
  <cp:revision>4</cp:revision>
  <dcterms:created xsi:type="dcterms:W3CDTF">2022-08-18T16:10:00Z</dcterms:created>
  <dcterms:modified xsi:type="dcterms:W3CDTF">2022-09-02T13:39:00Z</dcterms:modified>
</cp:coreProperties>
</file>